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1AA3" w14:textId="77777777" w:rsidR="008C719C" w:rsidRPr="007343E3" w:rsidRDefault="008C719C" w:rsidP="003428B9">
      <w:pPr>
        <w:shd w:val="clear" w:color="auto" w:fill="FFFFFF"/>
        <w:rPr>
          <w:rFonts w:eastAsia="Times New Roman" w:cstheme="minorHAnsi"/>
          <w:color w:val="222222"/>
          <w:sz w:val="23"/>
          <w:szCs w:val="23"/>
          <w:lang w:eastAsia="en-GB"/>
        </w:rPr>
      </w:pPr>
    </w:p>
    <w:p w14:paraId="6538E0FD" w14:textId="48FBE8BF" w:rsidR="008C719C" w:rsidRPr="007343E3" w:rsidRDefault="008C719C" w:rsidP="008C719C">
      <w:pPr>
        <w:shd w:val="clear" w:color="auto" w:fill="FFFFFF"/>
        <w:jc w:val="right"/>
        <w:rPr>
          <w:rFonts w:eastAsia="Times New Roman" w:cstheme="minorHAnsi"/>
          <w:color w:val="222222"/>
          <w:sz w:val="23"/>
          <w:szCs w:val="23"/>
          <w:lang w:eastAsia="en-GB"/>
        </w:rPr>
      </w:pPr>
      <w:r w:rsidRPr="007343E3">
        <w:rPr>
          <w:rFonts w:cstheme="minorHAnsi"/>
          <w:noProof/>
          <w:sz w:val="23"/>
          <w:szCs w:val="23"/>
        </w:rPr>
        <w:drawing>
          <wp:inline distT="114300" distB="114300" distL="114300" distR="114300" wp14:anchorId="0DE317A6" wp14:editId="00015ED3">
            <wp:extent cx="1718631" cy="1171575"/>
            <wp:effectExtent l="0" t="0" r="0" b="0"/>
            <wp:docPr id="2" name="image2.jpg"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5"/>
                    <a:srcRect l="10569" t="16767" r="17985" b="14894"/>
                    <a:stretch/>
                  </pic:blipFill>
                  <pic:spPr bwMode="auto">
                    <a:xfrm>
                      <a:off x="0" y="0"/>
                      <a:ext cx="1736428" cy="1183707"/>
                    </a:xfrm>
                    <a:prstGeom prst="rect">
                      <a:avLst/>
                    </a:prstGeom>
                    <a:ln>
                      <a:noFill/>
                    </a:ln>
                    <a:extLst>
                      <a:ext uri="{53640926-AAD7-44D8-BBD7-CCE9431645EC}">
                        <a14:shadowObscured xmlns:a14="http://schemas.microsoft.com/office/drawing/2010/main"/>
                      </a:ext>
                    </a:extLst>
                  </pic:spPr>
                </pic:pic>
              </a:graphicData>
            </a:graphic>
          </wp:inline>
        </w:drawing>
      </w:r>
    </w:p>
    <w:p w14:paraId="2FC55DA1" w14:textId="7E9E3D3A" w:rsidR="008C719C" w:rsidRDefault="008C719C" w:rsidP="008C719C">
      <w:pPr>
        <w:shd w:val="clear" w:color="auto" w:fill="FFFFFF"/>
        <w:rPr>
          <w:rFonts w:eastAsia="Times New Roman" w:cstheme="minorHAnsi"/>
          <w:b/>
          <w:bCs/>
          <w:color w:val="222222"/>
          <w:sz w:val="23"/>
          <w:szCs w:val="23"/>
          <w:lang w:eastAsia="en-GB"/>
        </w:rPr>
      </w:pPr>
    </w:p>
    <w:p w14:paraId="03C14CC6" w14:textId="44D76E32" w:rsidR="001D3F39" w:rsidRPr="001D3F39" w:rsidRDefault="001D3F39" w:rsidP="003428B9">
      <w:pPr>
        <w:shd w:val="clear" w:color="auto" w:fill="FFFFFF"/>
        <w:rPr>
          <w:rFonts w:eastAsia="Times New Roman" w:cstheme="minorHAnsi"/>
          <w:b/>
          <w:bCs/>
          <w:color w:val="222222"/>
          <w:sz w:val="28"/>
          <w:szCs w:val="28"/>
          <w:lang w:eastAsia="en-GB"/>
        </w:rPr>
      </w:pPr>
      <w:r>
        <w:rPr>
          <w:rFonts w:eastAsia="Times New Roman" w:cstheme="minorHAnsi"/>
          <w:b/>
          <w:bCs/>
          <w:color w:val="222222"/>
          <w:sz w:val="28"/>
          <w:szCs w:val="28"/>
          <w:lang w:eastAsia="en-GB"/>
        </w:rPr>
        <w:t xml:space="preserve">DRAFT </w:t>
      </w:r>
    </w:p>
    <w:p w14:paraId="1DC6AA1D" w14:textId="77777777" w:rsidR="001D3F39" w:rsidRDefault="001D3F39" w:rsidP="003428B9">
      <w:pPr>
        <w:shd w:val="clear" w:color="auto" w:fill="FFFFFF"/>
        <w:rPr>
          <w:rFonts w:eastAsia="Times New Roman" w:cstheme="minorHAnsi"/>
          <w:color w:val="222222"/>
          <w:sz w:val="23"/>
          <w:szCs w:val="23"/>
          <w:lang w:eastAsia="en-GB"/>
        </w:rPr>
      </w:pPr>
    </w:p>
    <w:p w14:paraId="5C55C5CF" w14:textId="77777777" w:rsidR="001D3F39" w:rsidRDefault="001D3F39" w:rsidP="003428B9">
      <w:pPr>
        <w:shd w:val="clear" w:color="auto" w:fill="FFFFFF"/>
        <w:rPr>
          <w:rFonts w:eastAsia="Times New Roman" w:cstheme="minorHAnsi"/>
          <w:color w:val="222222"/>
          <w:sz w:val="23"/>
          <w:szCs w:val="23"/>
          <w:lang w:eastAsia="en-GB"/>
        </w:rPr>
      </w:pPr>
    </w:p>
    <w:p w14:paraId="6FB2984B" w14:textId="6978DA26" w:rsidR="003428B9" w:rsidRDefault="003428B9" w:rsidP="003428B9">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WA Appeals Convener</w:t>
      </w:r>
    </w:p>
    <w:p w14:paraId="1CD77FFB" w14:textId="059E8031" w:rsidR="003428B9" w:rsidRDefault="003428B9" w:rsidP="003428B9">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 xml:space="preserve">Level 22 Forrest Centre </w:t>
      </w:r>
    </w:p>
    <w:p w14:paraId="18487A53" w14:textId="77777777" w:rsidR="003428B9" w:rsidRDefault="003428B9" w:rsidP="008C719C">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221 St Georges Terrace</w:t>
      </w:r>
      <w:r>
        <w:rPr>
          <w:rFonts w:eastAsia="Times New Roman" w:cstheme="minorHAnsi"/>
          <w:color w:val="222222"/>
          <w:sz w:val="23"/>
          <w:szCs w:val="23"/>
          <w:lang w:eastAsia="en-GB"/>
        </w:rPr>
        <w:br/>
        <w:t>PERTH WA 6000</w:t>
      </w:r>
      <w:r>
        <w:rPr>
          <w:rFonts w:eastAsia="Times New Roman" w:cstheme="minorHAnsi"/>
          <w:color w:val="222222"/>
          <w:sz w:val="23"/>
          <w:szCs w:val="23"/>
          <w:lang w:eastAsia="en-GB"/>
        </w:rPr>
        <w:br/>
      </w:r>
    </w:p>
    <w:p w14:paraId="321E4F31" w14:textId="11F43B2A" w:rsidR="003428B9" w:rsidRPr="003428B9" w:rsidRDefault="003428B9" w:rsidP="003428B9">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 xml:space="preserve">Dear WA Appeals Convener, </w:t>
      </w:r>
    </w:p>
    <w:p w14:paraId="1967D5B4" w14:textId="77777777" w:rsidR="003428B9" w:rsidRDefault="003428B9" w:rsidP="008C719C">
      <w:pPr>
        <w:shd w:val="clear" w:color="auto" w:fill="FFFFFF"/>
        <w:rPr>
          <w:rFonts w:eastAsia="Times New Roman" w:cstheme="minorHAnsi"/>
          <w:b/>
          <w:bCs/>
          <w:color w:val="222222"/>
          <w:lang w:eastAsia="en-GB"/>
        </w:rPr>
      </w:pPr>
    </w:p>
    <w:p w14:paraId="6B92D9AA" w14:textId="4FD0D428" w:rsidR="008C719C" w:rsidRPr="003428B9" w:rsidRDefault="008C719C" w:rsidP="008C719C">
      <w:pPr>
        <w:shd w:val="clear" w:color="auto" w:fill="FFFFFF"/>
        <w:rPr>
          <w:rFonts w:eastAsia="Times New Roman" w:cstheme="minorHAnsi"/>
          <w:b/>
          <w:bCs/>
          <w:color w:val="222222"/>
          <w:lang w:eastAsia="en-GB"/>
        </w:rPr>
      </w:pPr>
      <w:r w:rsidRPr="003428B9">
        <w:rPr>
          <w:rFonts w:eastAsia="Times New Roman" w:cstheme="minorHAnsi"/>
          <w:b/>
          <w:bCs/>
          <w:color w:val="222222"/>
          <w:lang w:eastAsia="en-GB"/>
        </w:rPr>
        <w:t xml:space="preserve">WA Forest Alliance appeal </w:t>
      </w:r>
      <w:r w:rsidR="00992ABD" w:rsidRPr="003428B9">
        <w:rPr>
          <w:rFonts w:eastAsia="Times New Roman" w:cstheme="minorHAnsi"/>
          <w:b/>
          <w:bCs/>
          <w:color w:val="222222"/>
          <w:lang w:eastAsia="en-GB"/>
        </w:rPr>
        <w:t>in relation to</w:t>
      </w:r>
      <w:r w:rsidRPr="003428B9">
        <w:rPr>
          <w:rFonts w:eastAsia="Times New Roman" w:cstheme="minorHAnsi"/>
          <w:b/>
          <w:bCs/>
          <w:color w:val="222222"/>
          <w:lang w:eastAsia="en-GB"/>
        </w:rPr>
        <w:t xml:space="preserve"> the EPA’s assessment of the Forest Management Plan 2024 – 2023</w:t>
      </w:r>
      <w:r w:rsidR="00992ABD" w:rsidRPr="003428B9">
        <w:rPr>
          <w:rFonts w:eastAsia="Times New Roman" w:cstheme="minorHAnsi"/>
          <w:b/>
          <w:bCs/>
          <w:color w:val="222222"/>
          <w:lang w:eastAsia="en-GB"/>
        </w:rPr>
        <w:t xml:space="preserve"> (Report 1745) </w:t>
      </w:r>
    </w:p>
    <w:p w14:paraId="711E3FD9" w14:textId="30846C88" w:rsidR="00992ABD" w:rsidRPr="007343E3" w:rsidRDefault="00992ABD" w:rsidP="008C719C">
      <w:pPr>
        <w:shd w:val="clear" w:color="auto" w:fill="FFFFFF"/>
        <w:rPr>
          <w:rFonts w:eastAsia="Times New Roman" w:cstheme="minorHAnsi"/>
          <w:b/>
          <w:bCs/>
          <w:color w:val="222222"/>
          <w:sz w:val="23"/>
          <w:szCs w:val="23"/>
          <w:lang w:eastAsia="en-GB"/>
        </w:rPr>
      </w:pPr>
    </w:p>
    <w:p w14:paraId="2C0745EF" w14:textId="30FF9539" w:rsidR="00992ABD" w:rsidRPr="007343E3" w:rsidRDefault="00992ABD" w:rsidP="008A698B">
      <w:pPr>
        <w:shd w:val="clear" w:color="auto" w:fill="FFFFFF"/>
        <w:spacing w:line="276" w:lineRule="auto"/>
        <w:rPr>
          <w:rFonts w:eastAsia="Times New Roman" w:cstheme="minorHAnsi"/>
          <w:color w:val="222222"/>
          <w:sz w:val="23"/>
          <w:szCs w:val="23"/>
          <w:lang w:eastAsia="en-GB"/>
        </w:rPr>
      </w:pPr>
      <w:r w:rsidRPr="007343E3">
        <w:rPr>
          <w:rFonts w:eastAsia="Times New Roman" w:cstheme="minorHAnsi"/>
          <w:color w:val="222222"/>
          <w:sz w:val="23"/>
          <w:szCs w:val="23"/>
          <w:lang w:eastAsia="en-GB"/>
        </w:rPr>
        <w:t xml:space="preserve">The WA Forest Alliance (WAFA) is submitting this appeal following close consideration of the EPA’s assessment </w:t>
      </w:r>
      <w:r w:rsidR="00D675AE">
        <w:rPr>
          <w:rFonts w:eastAsia="Times New Roman" w:cstheme="minorHAnsi"/>
          <w:color w:val="222222"/>
          <w:sz w:val="23"/>
          <w:szCs w:val="23"/>
          <w:lang w:eastAsia="en-GB"/>
        </w:rPr>
        <w:t>of</w:t>
      </w:r>
      <w:r w:rsidR="009F265A">
        <w:rPr>
          <w:rFonts w:eastAsia="Times New Roman" w:cstheme="minorHAnsi"/>
          <w:color w:val="222222"/>
          <w:sz w:val="23"/>
          <w:szCs w:val="23"/>
          <w:lang w:eastAsia="en-GB"/>
        </w:rPr>
        <w:t xml:space="preserve"> the Forest Management Plan 2024-2023</w:t>
      </w:r>
      <w:r w:rsidRPr="007343E3">
        <w:rPr>
          <w:rFonts w:eastAsia="Times New Roman" w:cstheme="minorHAnsi"/>
          <w:color w:val="222222"/>
          <w:sz w:val="23"/>
          <w:szCs w:val="23"/>
          <w:lang w:eastAsia="en-GB"/>
        </w:rPr>
        <w:t>. We believe that the EPA’s</w:t>
      </w:r>
      <w:r w:rsidR="009D4518" w:rsidRPr="007343E3">
        <w:rPr>
          <w:rFonts w:eastAsia="Times New Roman" w:cstheme="minorHAnsi"/>
          <w:color w:val="222222"/>
          <w:sz w:val="23"/>
          <w:szCs w:val="23"/>
          <w:lang w:eastAsia="en-GB"/>
        </w:rPr>
        <w:t xml:space="preserve"> </w:t>
      </w:r>
      <w:r w:rsidR="00BD7AB2" w:rsidRPr="007343E3">
        <w:rPr>
          <w:rFonts w:eastAsia="Times New Roman" w:cstheme="minorHAnsi"/>
          <w:color w:val="222222"/>
          <w:sz w:val="23"/>
          <w:szCs w:val="23"/>
          <w:lang w:eastAsia="en-GB"/>
        </w:rPr>
        <w:t xml:space="preserve">assessment approach has resulted in a report that does not provide </w:t>
      </w:r>
      <w:r w:rsidR="009F265A">
        <w:rPr>
          <w:rFonts w:eastAsia="Times New Roman" w:cstheme="minorHAnsi"/>
          <w:color w:val="222222"/>
          <w:sz w:val="23"/>
          <w:szCs w:val="23"/>
          <w:lang w:eastAsia="en-GB"/>
        </w:rPr>
        <w:t>adequate</w:t>
      </w:r>
      <w:r w:rsidR="00BD7AB2" w:rsidRPr="007343E3">
        <w:rPr>
          <w:rFonts w:eastAsia="Times New Roman" w:cstheme="minorHAnsi"/>
          <w:color w:val="222222"/>
          <w:sz w:val="23"/>
          <w:szCs w:val="23"/>
          <w:lang w:eastAsia="en-GB"/>
        </w:rPr>
        <w:t xml:space="preserve"> or substantive information on the likely impacts of the FMP’s proposed management activitie</w:t>
      </w:r>
      <w:r w:rsidR="009D4518" w:rsidRPr="007343E3">
        <w:rPr>
          <w:rFonts w:eastAsia="Times New Roman" w:cstheme="minorHAnsi"/>
          <w:color w:val="222222"/>
          <w:sz w:val="23"/>
          <w:szCs w:val="23"/>
          <w:lang w:eastAsia="en-GB"/>
        </w:rPr>
        <w:t>s</w:t>
      </w:r>
      <w:r w:rsidR="007343E3">
        <w:rPr>
          <w:rFonts w:eastAsia="Times New Roman" w:cstheme="minorHAnsi"/>
          <w:color w:val="222222"/>
          <w:sz w:val="23"/>
          <w:szCs w:val="23"/>
          <w:lang w:eastAsia="en-GB"/>
        </w:rPr>
        <w:t xml:space="preserve"> or sufficient recommended conditions</w:t>
      </w:r>
      <w:r w:rsidR="009D4518" w:rsidRPr="007343E3">
        <w:rPr>
          <w:rFonts w:eastAsia="Times New Roman" w:cstheme="minorHAnsi"/>
          <w:color w:val="222222"/>
          <w:sz w:val="23"/>
          <w:szCs w:val="23"/>
          <w:lang w:eastAsia="en-GB"/>
        </w:rPr>
        <w:t xml:space="preserve">. The Authority’s high-level, process-based </w:t>
      </w:r>
      <w:r w:rsidR="009F265A">
        <w:rPr>
          <w:rFonts w:eastAsia="Times New Roman" w:cstheme="minorHAnsi"/>
          <w:color w:val="222222"/>
          <w:sz w:val="23"/>
          <w:szCs w:val="23"/>
          <w:lang w:eastAsia="en-GB"/>
        </w:rPr>
        <w:t>approach</w:t>
      </w:r>
      <w:r w:rsidR="009D4518" w:rsidRPr="007343E3">
        <w:rPr>
          <w:rFonts w:eastAsia="Times New Roman" w:cstheme="minorHAnsi"/>
          <w:color w:val="222222"/>
          <w:sz w:val="23"/>
          <w:szCs w:val="23"/>
          <w:lang w:eastAsia="en-GB"/>
        </w:rPr>
        <w:t>; lack of substantive, quantified assessment of impacts; and insufficient and subjective recommended conditions mean that</w:t>
      </w:r>
      <w:r w:rsidR="007343E3">
        <w:rPr>
          <w:rFonts w:eastAsia="Times New Roman" w:cstheme="minorHAnsi"/>
          <w:color w:val="222222"/>
          <w:sz w:val="23"/>
          <w:szCs w:val="23"/>
          <w:lang w:eastAsia="en-GB"/>
        </w:rPr>
        <w:t>, in our view,</w:t>
      </w:r>
      <w:r w:rsidR="009D4518" w:rsidRPr="007343E3">
        <w:rPr>
          <w:rFonts w:eastAsia="Times New Roman" w:cstheme="minorHAnsi"/>
          <w:color w:val="222222"/>
          <w:sz w:val="23"/>
          <w:szCs w:val="23"/>
          <w:lang w:eastAsia="en-GB"/>
        </w:rPr>
        <w:t xml:space="preserve"> the report cannot be relied on by the Minister or others and</w:t>
      </w:r>
      <w:r w:rsidR="007343E3">
        <w:rPr>
          <w:rFonts w:eastAsia="Times New Roman" w:cstheme="minorHAnsi"/>
          <w:color w:val="222222"/>
          <w:sz w:val="23"/>
          <w:szCs w:val="23"/>
          <w:lang w:eastAsia="en-GB"/>
        </w:rPr>
        <w:t xml:space="preserve"> that</w:t>
      </w:r>
      <w:r w:rsidR="009D4518" w:rsidRPr="007343E3">
        <w:rPr>
          <w:rFonts w:eastAsia="Times New Roman" w:cstheme="minorHAnsi"/>
          <w:color w:val="222222"/>
          <w:sz w:val="23"/>
          <w:szCs w:val="23"/>
          <w:lang w:eastAsia="en-GB"/>
        </w:rPr>
        <w:t xml:space="preserve"> further assessment and clear, prescriptive conditions are required. </w:t>
      </w:r>
    </w:p>
    <w:p w14:paraId="1E1B2CED" w14:textId="77777777" w:rsidR="00992ABD" w:rsidRPr="007343E3" w:rsidRDefault="00992ABD" w:rsidP="008A698B">
      <w:pPr>
        <w:shd w:val="clear" w:color="auto" w:fill="FFFFFF"/>
        <w:spacing w:line="276" w:lineRule="auto"/>
        <w:rPr>
          <w:rFonts w:eastAsia="Times New Roman" w:cstheme="minorHAnsi"/>
          <w:color w:val="222222"/>
          <w:sz w:val="23"/>
          <w:szCs w:val="23"/>
          <w:lang w:eastAsia="en-GB"/>
        </w:rPr>
      </w:pPr>
    </w:p>
    <w:p w14:paraId="63446B41" w14:textId="3531F535" w:rsidR="00992ABD" w:rsidRDefault="00992ABD" w:rsidP="008A698B">
      <w:pPr>
        <w:shd w:val="clear" w:color="auto" w:fill="FFFFFF"/>
        <w:spacing w:line="276" w:lineRule="auto"/>
        <w:rPr>
          <w:rFonts w:eastAsia="Times New Roman" w:cstheme="minorHAnsi"/>
          <w:color w:val="222222"/>
          <w:sz w:val="23"/>
          <w:szCs w:val="23"/>
          <w:lang w:eastAsia="en-GB"/>
        </w:rPr>
      </w:pPr>
      <w:r w:rsidRPr="007343E3">
        <w:rPr>
          <w:rFonts w:eastAsia="Times New Roman" w:cstheme="minorHAnsi"/>
          <w:color w:val="222222"/>
          <w:sz w:val="23"/>
          <w:szCs w:val="23"/>
          <w:lang w:eastAsia="en-GB"/>
        </w:rPr>
        <w:t>WAFA represents 27 forest conservation groups in W</w:t>
      </w:r>
      <w:r w:rsidR="009F265A">
        <w:rPr>
          <w:rFonts w:eastAsia="Times New Roman" w:cstheme="minorHAnsi"/>
          <w:color w:val="222222"/>
          <w:sz w:val="23"/>
          <w:szCs w:val="23"/>
          <w:lang w:eastAsia="en-GB"/>
        </w:rPr>
        <w:t>estern Australia</w:t>
      </w:r>
      <w:r w:rsidRPr="007343E3">
        <w:rPr>
          <w:rFonts w:eastAsia="Times New Roman" w:cstheme="minorHAnsi"/>
          <w:color w:val="222222"/>
          <w:sz w:val="23"/>
          <w:szCs w:val="23"/>
          <w:lang w:eastAsia="en-GB"/>
        </w:rPr>
        <w:t xml:space="preserve"> and we have been advocating for the protection of South West forests from various threats since 1990. We submitted detailed information to the EPA on the likely impacts of the management activities in the Proposed Forest Management Plan 2024-2023</w:t>
      </w:r>
      <w:r w:rsidR="009F265A">
        <w:rPr>
          <w:rFonts w:eastAsia="Times New Roman" w:cstheme="minorHAnsi"/>
          <w:color w:val="222222"/>
          <w:sz w:val="23"/>
          <w:szCs w:val="23"/>
          <w:lang w:eastAsia="en-GB"/>
        </w:rPr>
        <w:t xml:space="preserve">; </w:t>
      </w:r>
      <w:r w:rsidRPr="007343E3">
        <w:rPr>
          <w:rFonts w:eastAsia="Times New Roman" w:cstheme="minorHAnsi"/>
          <w:color w:val="222222"/>
          <w:sz w:val="23"/>
          <w:szCs w:val="23"/>
          <w:lang w:eastAsia="en-GB"/>
        </w:rPr>
        <w:t xml:space="preserve">issues surrounding the inadequacy of </w:t>
      </w:r>
      <w:r w:rsidR="009F265A">
        <w:rPr>
          <w:rFonts w:eastAsia="Times New Roman" w:cstheme="minorHAnsi"/>
          <w:color w:val="222222"/>
          <w:sz w:val="23"/>
          <w:szCs w:val="23"/>
          <w:lang w:eastAsia="en-GB"/>
        </w:rPr>
        <w:t xml:space="preserve">the proposal in terms of the level of detail provided and its performance assessment framework; as well as the broader regulatory context and reasons the EPA cannot rely on </w:t>
      </w:r>
      <w:r w:rsidRPr="007343E3">
        <w:rPr>
          <w:rFonts w:eastAsia="Times New Roman" w:cstheme="minorHAnsi"/>
          <w:color w:val="222222"/>
          <w:sz w:val="23"/>
          <w:szCs w:val="23"/>
          <w:lang w:eastAsia="en-GB"/>
        </w:rPr>
        <w:t>other Decision Making Authorities</w:t>
      </w:r>
      <w:r w:rsidR="009F265A">
        <w:rPr>
          <w:rFonts w:eastAsia="Times New Roman" w:cstheme="minorHAnsi"/>
          <w:color w:val="222222"/>
          <w:sz w:val="23"/>
          <w:szCs w:val="23"/>
          <w:lang w:eastAsia="en-GB"/>
        </w:rPr>
        <w:t xml:space="preserve"> to ensure delivery of environmental, social and climate protections</w:t>
      </w:r>
      <w:r w:rsidRPr="007343E3">
        <w:rPr>
          <w:rFonts w:eastAsia="Times New Roman" w:cstheme="minorHAnsi"/>
          <w:color w:val="222222"/>
          <w:sz w:val="23"/>
          <w:szCs w:val="23"/>
          <w:lang w:eastAsia="en-GB"/>
        </w:rPr>
        <w:t xml:space="preserve">. </w:t>
      </w:r>
      <w:r w:rsidR="007343E3">
        <w:rPr>
          <w:rFonts w:eastAsia="Times New Roman" w:cstheme="minorHAnsi"/>
          <w:color w:val="222222"/>
          <w:sz w:val="23"/>
          <w:szCs w:val="23"/>
          <w:lang w:eastAsia="en-GB"/>
        </w:rPr>
        <w:t xml:space="preserve">We </w:t>
      </w:r>
      <w:r w:rsidR="009F265A">
        <w:rPr>
          <w:rFonts w:eastAsia="Times New Roman" w:cstheme="minorHAnsi"/>
          <w:color w:val="222222"/>
          <w:sz w:val="23"/>
          <w:szCs w:val="23"/>
          <w:lang w:eastAsia="en-GB"/>
        </w:rPr>
        <w:t xml:space="preserve">summarise some </w:t>
      </w:r>
      <w:r w:rsidR="007343E3">
        <w:rPr>
          <w:rFonts w:eastAsia="Times New Roman" w:cstheme="minorHAnsi"/>
          <w:color w:val="222222"/>
          <w:sz w:val="23"/>
          <w:szCs w:val="23"/>
          <w:lang w:eastAsia="en-GB"/>
        </w:rPr>
        <w:t xml:space="preserve">of that previously submitted information here, with further information provided in the appendix. </w:t>
      </w:r>
      <w:r w:rsidR="007343E3">
        <w:rPr>
          <w:rFonts w:eastAsia="Times New Roman" w:cstheme="minorHAnsi"/>
          <w:color w:val="222222"/>
          <w:sz w:val="23"/>
          <w:szCs w:val="23"/>
          <w:lang w:eastAsia="en-GB"/>
        </w:rPr>
        <w:br/>
      </w:r>
      <w:r w:rsidR="007343E3">
        <w:rPr>
          <w:rFonts w:eastAsia="Times New Roman" w:cstheme="minorHAnsi"/>
          <w:color w:val="222222"/>
          <w:sz w:val="23"/>
          <w:szCs w:val="23"/>
          <w:lang w:eastAsia="en-GB"/>
        </w:rPr>
        <w:br/>
      </w:r>
    </w:p>
    <w:p w14:paraId="5A4E73D1" w14:textId="717C0A90" w:rsidR="001F29F4" w:rsidRPr="008A698B" w:rsidRDefault="007343E3" w:rsidP="008A698B">
      <w:pPr>
        <w:shd w:val="clear" w:color="auto" w:fill="FFFFFF"/>
        <w:spacing w:line="276" w:lineRule="auto"/>
        <w:rPr>
          <w:rFonts w:eastAsia="Times New Roman" w:cstheme="minorHAnsi"/>
          <w:color w:val="222222"/>
          <w:sz w:val="23"/>
          <w:szCs w:val="23"/>
          <w:lang w:eastAsia="en-GB"/>
        </w:rPr>
      </w:pPr>
      <w:r w:rsidRPr="008A698B">
        <w:rPr>
          <w:rFonts w:eastAsia="Times New Roman" w:cstheme="minorHAnsi"/>
          <w:b/>
          <w:bCs/>
          <w:color w:val="222222"/>
          <w:lang w:eastAsia="en-GB"/>
        </w:rPr>
        <w:t xml:space="preserve">Introduction </w:t>
      </w:r>
      <w:r w:rsidRPr="008A698B">
        <w:rPr>
          <w:rFonts w:eastAsia="Times New Roman" w:cstheme="minorHAnsi"/>
          <w:b/>
          <w:bCs/>
          <w:color w:val="222222"/>
          <w:lang w:eastAsia="en-GB"/>
        </w:rPr>
        <w:br/>
      </w:r>
      <w:r w:rsidRPr="008A698B">
        <w:rPr>
          <w:rFonts w:eastAsia="Times New Roman" w:cstheme="minorHAnsi"/>
          <w:color w:val="222222"/>
          <w:sz w:val="23"/>
          <w:szCs w:val="23"/>
          <w:lang w:eastAsia="en-GB"/>
        </w:rPr>
        <w:t xml:space="preserve">The </w:t>
      </w:r>
      <w:r w:rsidR="002C7178" w:rsidRPr="008A698B">
        <w:rPr>
          <w:rFonts w:eastAsia="Times New Roman" w:cstheme="minorHAnsi"/>
          <w:color w:val="222222"/>
          <w:sz w:val="23"/>
          <w:szCs w:val="23"/>
          <w:lang w:eastAsia="en-GB"/>
        </w:rPr>
        <w:t>Forest Management Plan 2024-2033 represents a s</w:t>
      </w:r>
      <w:r w:rsidR="009F265A" w:rsidRPr="008A698B">
        <w:rPr>
          <w:rFonts w:eastAsia="Times New Roman" w:cstheme="minorHAnsi"/>
          <w:color w:val="222222"/>
          <w:sz w:val="23"/>
          <w:szCs w:val="23"/>
          <w:lang w:eastAsia="en-GB"/>
        </w:rPr>
        <w:t>ubstantial</w:t>
      </w:r>
      <w:r w:rsidR="002C7178" w:rsidRPr="008A698B">
        <w:rPr>
          <w:rFonts w:eastAsia="Times New Roman" w:cstheme="minorHAnsi"/>
          <w:color w:val="222222"/>
          <w:sz w:val="23"/>
          <w:szCs w:val="23"/>
          <w:lang w:eastAsia="en-GB"/>
        </w:rPr>
        <w:t xml:space="preserve"> shift in forest policy and management, and</w:t>
      </w:r>
      <w:r w:rsidR="009F265A" w:rsidRPr="008A698B">
        <w:rPr>
          <w:rFonts w:eastAsia="Times New Roman" w:cstheme="minorHAnsi"/>
          <w:color w:val="222222"/>
          <w:sz w:val="23"/>
          <w:szCs w:val="23"/>
          <w:lang w:eastAsia="en-GB"/>
        </w:rPr>
        <w:t xml:space="preserve"> in</w:t>
      </w:r>
      <w:r w:rsidR="002C7178" w:rsidRPr="008A698B">
        <w:rPr>
          <w:rFonts w:eastAsia="Times New Roman" w:cstheme="minorHAnsi"/>
          <w:color w:val="222222"/>
          <w:sz w:val="23"/>
          <w:szCs w:val="23"/>
          <w:lang w:eastAsia="en-GB"/>
        </w:rPr>
        <w:t xml:space="preserve"> how we value and interact with the South West forests. This shift has been a very long time coming, and the WA community is </w:t>
      </w:r>
      <w:r w:rsidR="009F265A" w:rsidRPr="008A698B">
        <w:rPr>
          <w:rFonts w:eastAsia="Times New Roman" w:cstheme="minorHAnsi"/>
          <w:color w:val="222222"/>
          <w:sz w:val="23"/>
          <w:szCs w:val="23"/>
          <w:lang w:eastAsia="en-GB"/>
        </w:rPr>
        <w:t>significantly</w:t>
      </w:r>
      <w:r w:rsidR="002C7178" w:rsidRPr="008A698B">
        <w:rPr>
          <w:rFonts w:eastAsia="Times New Roman" w:cstheme="minorHAnsi"/>
          <w:color w:val="222222"/>
          <w:sz w:val="23"/>
          <w:szCs w:val="23"/>
          <w:lang w:eastAsia="en-GB"/>
        </w:rPr>
        <w:t xml:space="preserve"> invested in realising its potential. WAFA strongly supports the end of native forest logging and the improved emphasis on joint management with Traditional Owners. However, the Proposed Forest Management Plan</w:t>
      </w:r>
      <w:r w:rsidR="005E2788" w:rsidRPr="008A698B">
        <w:rPr>
          <w:rFonts w:eastAsia="Times New Roman" w:cstheme="minorHAnsi"/>
          <w:color w:val="222222"/>
          <w:sz w:val="23"/>
          <w:szCs w:val="23"/>
          <w:lang w:eastAsia="en-GB"/>
        </w:rPr>
        <w:t xml:space="preserve"> does not satisfy planning, implementation, monitoring or regulatory concerns associated with management activities that have the potential to </w:t>
      </w:r>
      <w:r w:rsidR="00D675AE">
        <w:rPr>
          <w:rFonts w:eastAsia="Times New Roman" w:cstheme="minorHAnsi"/>
          <w:color w:val="222222"/>
          <w:sz w:val="23"/>
          <w:szCs w:val="23"/>
          <w:lang w:eastAsia="en-GB"/>
        </w:rPr>
        <w:t>result in</w:t>
      </w:r>
      <w:r w:rsidR="005E2788" w:rsidRPr="008A698B">
        <w:rPr>
          <w:rFonts w:eastAsia="Times New Roman" w:cstheme="minorHAnsi"/>
          <w:color w:val="222222"/>
          <w:sz w:val="23"/>
          <w:szCs w:val="23"/>
          <w:lang w:eastAsia="en-GB"/>
        </w:rPr>
        <w:t xml:space="preserve"> major environmental, social and climate impacts</w:t>
      </w:r>
      <w:r w:rsidR="009F265A" w:rsidRPr="008A698B">
        <w:rPr>
          <w:rFonts w:eastAsia="Times New Roman" w:cstheme="minorHAnsi"/>
          <w:color w:val="222222"/>
          <w:sz w:val="23"/>
          <w:szCs w:val="23"/>
          <w:lang w:eastAsia="en-GB"/>
        </w:rPr>
        <w:t xml:space="preserve">. </w:t>
      </w:r>
    </w:p>
    <w:p w14:paraId="520A9D04" w14:textId="77777777" w:rsidR="009F265A" w:rsidRPr="008A698B" w:rsidRDefault="009F265A" w:rsidP="008A698B">
      <w:pPr>
        <w:shd w:val="clear" w:color="auto" w:fill="FFFFFF"/>
        <w:spacing w:line="276" w:lineRule="auto"/>
        <w:rPr>
          <w:rFonts w:eastAsia="Times New Roman" w:cstheme="minorHAnsi"/>
          <w:color w:val="222222"/>
          <w:sz w:val="23"/>
          <w:szCs w:val="23"/>
          <w:lang w:eastAsia="en-GB"/>
        </w:rPr>
      </w:pPr>
    </w:p>
    <w:p w14:paraId="3B37C5AB" w14:textId="77777777" w:rsidR="00D675AE" w:rsidRDefault="00D675AE" w:rsidP="008A698B">
      <w:pPr>
        <w:spacing w:line="276" w:lineRule="auto"/>
        <w:rPr>
          <w:rFonts w:cstheme="minorHAnsi"/>
          <w:sz w:val="23"/>
          <w:szCs w:val="23"/>
        </w:rPr>
      </w:pPr>
    </w:p>
    <w:p w14:paraId="530C002B" w14:textId="77777777" w:rsidR="00D675AE" w:rsidRDefault="00D675AE" w:rsidP="008A698B">
      <w:pPr>
        <w:spacing w:line="276" w:lineRule="auto"/>
        <w:rPr>
          <w:rFonts w:cstheme="minorHAnsi"/>
          <w:sz w:val="23"/>
          <w:szCs w:val="23"/>
        </w:rPr>
      </w:pPr>
    </w:p>
    <w:p w14:paraId="61E1FAAE" w14:textId="77777777" w:rsidR="00D675AE" w:rsidRDefault="00D675AE" w:rsidP="008A698B">
      <w:pPr>
        <w:spacing w:line="276" w:lineRule="auto"/>
        <w:rPr>
          <w:rFonts w:cstheme="minorHAnsi"/>
          <w:sz w:val="23"/>
          <w:szCs w:val="23"/>
        </w:rPr>
      </w:pPr>
    </w:p>
    <w:p w14:paraId="2A2DC2D2" w14:textId="1F11610D" w:rsidR="001F29F4" w:rsidRPr="008A698B" w:rsidRDefault="001F29F4" w:rsidP="008A698B">
      <w:pPr>
        <w:spacing w:line="276" w:lineRule="auto"/>
        <w:rPr>
          <w:rFonts w:cstheme="minorHAnsi"/>
          <w:sz w:val="23"/>
          <w:szCs w:val="23"/>
        </w:rPr>
      </w:pPr>
      <w:r w:rsidRPr="008A698B">
        <w:rPr>
          <w:rFonts w:cstheme="minorHAnsi"/>
          <w:sz w:val="23"/>
          <w:szCs w:val="23"/>
        </w:rPr>
        <w:t xml:space="preserve">The management activities </w:t>
      </w:r>
      <w:r w:rsidR="00D675AE">
        <w:rPr>
          <w:rFonts w:cstheme="minorHAnsi"/>
          <w:sz w:val="23"/>
          <w:szCs w:val="23"/>
        </w:rPr>
        <w:t>set out</w:t>
      </w:r>
      <w:r w:rsidRPr="008A698B">
        <w:rPr>
          <w:rFonts w:cstheme="minorHAnsi"/>
          <w:sz w:val="23"/>
          <w:szCs w:val="23"/>
        </w:rPr>
        <w:t xml:space="preserve"> in the FMP include prescribed burning, thinning</w:t>
      </w:r>
      <w:r w:rsidR="003428B9" w:rsidRPr="008A698B">
        <w:rPr>
          <w:rFonts w:cstheme="minorHAnsi"/>
          <w:sz w:val="23"/>
          <w:szCs w:val="23"/>
        </w:rPr>
        <w:t xml:space="preserve"> and </w:t>
      </w:r>
      <w:r w:rsidRPr="008A698B">
        <w:rPr>
          <w:rFonts w:cstheme="minorHAnsi"/>
          <w:sz w:val="23"/>
          <w:szCs w:val="23"/>
        </w:rPr>
        <w:t xml:space="preserve">clearing, as well as other activities </w:t>
      </w:r>
      <w:r w:rsidR="00D675AE">
        <w:rPr>
          <w:rFonts w:cstheme="minorHAnsi"/>
          <w:sz w:val="23"/>
          <w:szCs w:val="23"/>
        </w:rPr>
        <w:t>including</w:t>
      </w:r>
      <w:r w:rsidRPr="008A698B">
        <w:rPr>
          <w:rFonts w:cstheme="minorHAnsi"/>
          <w:sz w:val="23"/>
          <w:szCs w:val="23"/>
        </w:rPr>
        <w:t xml:space="preserve"> management of weeds, pests and feral animals, recreation, and plant pathogens and diseases. </w:t>
      </w:r>
    </w:p>
    <w:p w14:paraId="379112B3" w14:textId="5387390A" w:rsidR="001F29F4" w:rsidRPr="008A698B" w:rsidRDefault="001F29F4" w:rsidP="008A698B">
      <w:pPr>
        <w:shd w:val="clear" w:color="auto" w:fill="FFFFFF"/>
        <w:spacing w:line="276" w:lineRule="auto"/>
        <w:rPr>
          <w:rFonts w:eastAsia="Times New Roman" w:cstheme="minorHAnsi"/>
          <w:color w:val="222222"/>
          <w:sz w:val="23"/>
          <w:szCs w:val="23"/>
          <w:lang w:eastAsia="en-GB"/>
        </w:rPr>
      </w:pPr>
    </w:p>
    <w:p w14:paraId="176907B7" w14:textId="2A255E51" w:rsidR="009F265A" w:rsidRPr="008A698B" w:rsidRDefault="001F29F4" w:rsidP="008A698B">
      <w:pPr>
        <w:spacing w:line="276" w:lineRule="auto"/>
        <w:rPr>
          <w:rFonts w:cstheme="minorHAnsi"/>
          <w:sz w:val="23"/>
          <w:szCs w:val="23"/>
        </w:rPr>
      </w:pPr>
      <w:r w:rsidRPr="008A698B">
        <w:rPr>
          <w:rFonts w:cstheme="minorHAnsi"/>
          <w:sz w:val="23"/>
          <w:szCs w:val="23"/>
        </w:rPr>
        <w:t>These management activities have highly significant impact</w:t>
      </w:r>
      <w:r w:rsidR="00D675AE">
        <w:rPr>
          <w:rFonts w:cstheme="minorHAnsi"/>
          <w:sz w:val="23"/>
          <w:szCs w:val="23"/>
        </w:rPr>
        <w:t>s</w:t>
      </w:r>
      <w:r w:rsidRPr="008A698B">
        <w:rPr>
          <w:rFonts w:cstheme="minorHAnsi"/>
          <w:sz w:val="23"/>
          <w:szCs w:val="23"/>
        </w:rPr>
        <w:t xml:space="preserve"> on species and ecosystems within the FMP area, and in</w:t>
      </w:r>
      <w:r w:rsidR="003428B9" w:rsidRPr="008A698B">
        <w:rPr>
          <w:rFonts w:cstheme="minorHAnsi"/>
          <w:sz w:val="23"/>
          <w:szCs w:val="23"/>
        </w:rPr>
        <w:t xml:space="preserve"> the case of prescribed burning</w:t>
      </w:r>
      <w:r w:rsidR="009F265A" w:rsidRPr="008A698B">
        <w:rPr>
          <w:rFonts w:cstheme="minorHAnsi"/>
          <w:sz w:val="23"/>
          <w:szCs w:val="23"/>
        </w:rPr>
        <w:t>, thinning and clearing, have the potential to release huge volumes of carbon</w:t>
      </w:r>
      <w:r w:rsidR="00D675AE">
        <w:rPr>
          <w:rFonts w:cstheme="minorHAnsi"/>
          <w:sz w:val="23"/>
          <w:szCs w:val="23"/>
        </w:rPr>
        <w:t xml:space="preserve"> into the atmosphere</w:t>
      </w:r>
      <w:r w:rsidR="009F265A" w:rsidRPr="008A698B">
        <w:rPr>
          <w:rFonts w:cstheme="minorHAnsi"/>
          <w:sz w:val="23"/>
          <w:szCs w:val="23"/>
        </w:rPr>
        <w:t xml:space="preserve"> over the next decade. </w:t>
      </w:r>
    </w:p>
    <w:p w14:paraId="388EA148" w14:textId="77777777" w:rsidR="009F265A" w:rsidRPr="008A698B" w:rsidRDefault="009F265A" w:rsidP="008A698B">
      <w:pPr>
        <w:spacing w:line="276" w:lineRule="auto"/>
        <w:rPr>
          <w:rFonts w:cstheme="minorHAnsi"/>
          <w:sz w:val="23"/>
          <w:szCs w:val="23"/>
        </w:rPr>
      </w:pPr>
    </w:p>
    <w:p w14:paraId="021C8603" w14:textId="03B9B48A" w:rsidR="001F29F4" w:rsidRPr="008A698B" w:rsidRDefault="009F265A" w:rsidP="008A698B">
      <w:pPr>
        <w:spacing w:line="276" w:lineRule="auto"/>
        <w:rPr>
          <w:rFonts w:cstheme="minorHAnsi"/>
          <w:sz w:val="23"/>
          <w:szCs w:val="23"/>
        </w:rPr>
      </w:pPr>
      <w:r w:rsidRPr="008A698B">
        <w:rPr>
          <w:rFonts w:cstheme="minorHAnsi"/>
          <w:sz w:val="23"/>
          <w:szCs w:val="23"/>
        </w:rPr>
        <w:t>In</w:t>
      </w:r>
      <w:r w:rsidR="001F29F4" w:rsidRPr="008A698B">
        <w:rPr>
          <w:rFonts w:cstheme="minorHAnsi"/>
          <w:sz w:val="23"/>
          <w:szCs w:val="23"/>
        </w:rPr>
        <w:t xml:space="preserve"> many cases </w:t>
      </w:r>
      <w:r w:rsidRPr="008A698B">
        <w:rPr>
          <w:rFonts w:cstheme="minorHAnsi"/>
          <w:sz w:val="23"/>
          <w:szCs w:val="23"/>
        </w:rPr>
        <w:t>the FMP activities are</w:t>
      </w:r>
      <w:r w:rsidR="001F29F4" w:rsidRPr="008A698B">
        <w:rPr>
          <w:rFonts w:cstheme="minorHAnsi"/>
          <w:sz w:val="23"/>
          <w:szCs w:val="23"/>
        </w:rPr>
        <w:t xml:space="preserve"> likely to be the most significant factor affecting the long-term ecological health</w:t>
      </w:r>
      <w:r w:rsidR="00D675AE">
        <w:rPr>
          <w:rFonts w:cstheme="minorHAnsi"/>
          <w:sz w:val="23"/>
          <w:szCs w:val="23"/>
        </w:rPr>
        <w:t xml:space="preserve">, integrity and resilience </w:t>
      </w:r>
      <w:r w:rsidR="001F29F4" w:rsidRPr="008A698B">
        <w:rPr>
          <w:rFonts w:cstheme="minorHAnsi"/>
          <w:sz w:val="23"/>
          <w:szCs w:val="23"/>
        </w:rPr>
        <w:t>of these systems. The cumulative effects of management activities together with climate change impacts have already transformed parts of these ecosystems in ways that are likely to be irreversible.</w:t>
      </w:r>
    </w:p>
    <w:p w14:paraId="6A4C4322" w14:textId="3F8A7E30" w:rsidR="001F29F4" w:rsidRPr="008A698B" w:rsidRDefault="001F29F4" w:rsidP="008A698B">
      <w:pPr>
        <w:spacing w:line="276" w:lineRule="auto"/>
        <w:rPr>
          <w:rFonts w:cstheme="minorHAnsi"/>
          <w:sz w:val="23"/>
          <w:szCs w:val="23"/>
        </w:rPr>
      </w:pPr>
      <w:r w:rsidRPr="008A698B">
        <w:rPr>
          <w:rFonts w:cstheme="minorHAnsi"/>
          <w:sz w:val="23"/>
          <w:szCs w:val="23"/>
        </w:rPr>
        <w:t xml:space="preserve">  </w:t>
      </w:r>
    </w:p>
    <w:p w14:paraId="29FCA25F" w14:textId="19C73DE1" w:rsidR="00A03831" w:rsidRPr="008A698B" w:rsidRDefault="001F29F4" w:rsidP="008A698B">
      <w:pPr>
        <w:autoSpaceDE w:val="0"/>
        <w:autoSpaceDN w:val="0"/>
        <w:adjustRightInd w:val="0"/>
        <w:spacing w:line="276" w:lineRule="auto"/>
        <w:rPr>
          <w:rFonts w:cstheme="minorHAnsi"/>
          <w:sz w:val="23"/>
          <w:szCs w:val="23"/>
        </w:rPr>
      </w:pPr>
      <w:r w:rsidRPr="008A698B">
        <w:rPr>
          <w:rFonts w:cstheme="minorHAnsi"/>
          <w:sz w:val="23"/>
          <w:szCs w:val="23"/>
        </w:rPr>
        <w:t xml:space="preserve">The </w:t>
      </w:r>
      <w:r w:rsidR="00A03831" w:rsidRPr="008A698B">
        <w:rPr>
          <w:rFonts w:cstheme="minorHAnsi"/>
          <w:sz w:val="23"/>
          <w:szCs w:val="23"/>
        </w:rPr>
        <w:t xml:space="preserve">Proposed </w:t>
      </w:r>
      <w:r w:rsidRPr="008A698B">
        <w:rPr>
          <w:rFonts w:cstheme="minorHAnsi"/>
          <w:sz w:val="23"/>
          <w:szCs w:val="23"/>
        </w:rPr>
        <w:t xml:space="preserve">FMP contains little to no detailed information on </w:t>
      </w:r>
      <w:r w:rsidR="00A03831" w:rsidRPr="008A698B">
        <w:rPr>
          <w:rFonts w:cstheme="minorHAnsi"/>
          <w:sz w:val="23"/>
          <w:szCs w:val="23"/>
        </w:rPr>
        <w:t xml:space="preserve">the application of thinning and burning. In terms of thinning - it does not set out </w:t>
      </w:r>
      <w:r w:rsidRPr="008A698B">
        <w:rPr>
          <w:rFonts w:cstheme="minorHAnsi"/>
          <w:sz w:val="23"/>
          <w:szCs w:val="23"/>
        </w:rPr>
        <w:t>where thinning would occur, at what level of intensity</w:t>
      </w:r>
      <w:r w:rsidR="00A03831" w:rsidRPr="008A698B">
        <w:rPr>
          <w:rFonts w:cstheme="minorHAnsi"/>
          <w:sz w:val="23"/>
          <w:szCs w:val="23"/>
        </w:rPr>
        <w:t xml:space="preserve"> or </w:t>
      </w:r>
      <w:r w:rsidRPr="008A698B">
        <w:rPr>
          <w:rFonts w:cstheme="minorHAnsi"/>
          <w:sz w:val="23"/>
          <w:szCs w:val="23"/>
        </w:rPr>
        <w:t xml:space="preserve">by what methods. </w:t>
      </w:r>
      <w:r w:rsidR="00A03831" w:rsidRPr="008A698B">
        <w:rPr>
          <w:rFonts w:cstheme="minorHAnsi"/>
          <w:sz w:val="23"/>
          <w:szCs w:val="23"/>
        </w:rPr>
        <w:t>A</w:t>
      </w:r>
      <w:proofErr w:type="spellStart"/>
      <w:r w:rsidRPr="008A698B">
        <w:rPr>
          <w:rFonts w:cstheme="minorHAnsi"/>
          <w:sz w:val="23"/>
          <w:szCs w:val="23"/>
          <w:lang w:val="en-GB"/>
        </w:rPr>
        <w:t>ccording</w:t>
      </w:r>
      <w:proofErr w:type="spellEnd"/>
      <w:r w:rsidRPr="008A698B">
        <w:rPr>
          <w:rFonts w:cstheme="minorHAnsi"/>
          <w:sz w:val="23"/>
          <w:szCs w:val="23"/>
          <w:lang w:val="en-GB"/>
        </w:rPr>
        <w:t xml:space="preserve"> to the </w:t>
      </w:r>
      <w:r w:rsidR="00A03831" w:rsidRPr="008A698B">
        <w:rPr>
          <w:rFonts w:cstheme="minorHAnsi"/>
          <w:sz w:val="23"/>
          <w:szCs w:val="23"/>
          <w:lang w:val="en-GB"/>
        </w:rPr>
        <w:t xml:space="preserve">Proposed </w:t>
      </w:r>
      <w:r w:rsidRPr="008A698B">
        <w:rPr>
          <w:rFonts w:cstheme="minorHAnsi"/>
          <w:sz w:val="23"/>
          <w:szCs w:val="23"/>
          <w:lang w:val="en-GB"/>
        </w:rPr>
        <w:t>FMP, the plans for thinning may involve a</w:t>
      </w:r>
      <w:r w:rsidR="00A03831" w:rsidRPr="008A698B">
        <w:rPr>
          <w:rFonts w:cstheme="minorHAnsi"/>
          <w:sz w:val="23"/>
          <w:szCs w:val="23"/>
        </w:rPr>
        <w:t xml:space="preserve"> </w:t>
      </w:r>
      <w:r w:rsidRPr="008A698B">
        <w:rPr>
          <w:rFonts w:cstheme="minorHAnsi"/>
          <w:sz w:val="23"/>
          <w:szCs w:val="23"/>
          <w:lang w:val="en-GB"/>
        </w:rPr>
        <w:t>program that affects up to 8000 ha per year (</w:t>
      </w:r>
      <w:r w:rsidR="00D675AE">
        <w:rPr>
          <w:rFonts w:cstheme="minorHAnsi"/>
          <w:sz w:val="23"/>
          <w:szCs w:val="23"/>
          <w:lang w:val="en-GB"/>
        </w:rPr>
        <w:t>this is a s</w:t>
      </w:r>
      <w:proofErr w:type="spellStart"/>
      <w:r w:rsidR="00D675AE">
        <w:rPr>
          <w:rFonts w:cstheme="minorHAnsi"/>
          <w:sz w:val="23"/>
          <w:szCs w:val="23"/>
          <w:lang w:val="en-GB"/>
        </w:rPr>
        <w:t>ignficant</w:t>
      </w:r>
      <w:proofErr w:type="spellEnd"/>
      <w:r w:rsidR="00D675AE">
        <w:rPr>
          <w:rFonts w:cstheme="minorHAnsi"/>
          <w:sz w:val="23"/>
          <w:szCs w:val="23"/>
          <w:lang w:val="en-GB"/>
        </w:rPr>
        <w:t xml:space="preserve"> size, </w:t>
      </w:r>
      <w:r w:rsidRPr="008A698B">
        <w:rPr>
          <w:rFonts w:cstheme="minorHAnsi"/>
          <w:sz w:val="23"/>
          <w:szCs w:val="23"/>
          <w:lang w:val="en-GB"/>
        </w:rPr>
        <w:t xml:space="preserve">1500ha greater than the </w:t>
      </w:r>
      <w:r w:rsidR="00D675AE">
        <w:rPr>
          <w:rFonts w:cstheme="minorHAnsi"/>
          <w:sz w:val="23"/>
          <w:szCs w:val="23"/>
          <w:lang w:val="en-GB"/>
        </w:rPr>
        <w:t>area</w:t>
      </w:r>
      <w:r w:rsidRPr="008A698B">
        <w:rPr>
          <w:rFonts w:cstheme="minorHAnsi"/>
          <w:sz w:val="23"/>
          <w:szCs w:val="23"/>
          <w:lang w:val="en-GB"/>
        </w:rPr>
        <w:t xml:space="preserve"> logged per year on average in</w:t>
      </w:r>
      <w:r w:rsidR="00A03831" w:rsidRPr="008A698B">
        <w:rPr>
          <w:rFonts w:cstheme="minorHAnsi"/>
          <w:sz w:val="23"/>
          <w:szCs w:val="23"/>
        </w:rPr>
        <w:t xml:space="preserve"> </w:t>
      </w:r>
      <w:r w:rsidRPr="008A698B">
        <w:rPr>
          <w:rFonts w:cstheme="minorHAnsi"/>
          <w:sz w:val="23"/>
          <w:szCs w:val="23"/>
          <w:lang w:val="en-GB"/>
        </w:rPr>
        <w:t xml:space="preserve">recent years) but </w:t>
      </w:r>
      <w:r w:rsidR="00D675AE">
        <w:rPr>
          <w:rFonts w:cstheme="minorHAnsi"/>
          <w:sz w:val="23"/>
          <w:szCs w:val="23"/>
          <w:lang w:val="en-GB"/>
        </w:rPr>
        <w:t>no detail or certainty</w:t>
      </w:r>
      <w:r w:rsidRPr="008A698B">
        <w:rPr>
          <w:rFonts w:cstheme="minorHAnsi"/>
          <w:sz w:val="23"/>
          <w:szCs w:val="23"/>
          <w:lang w:val="en-GB"/>
        </w:rPr>
        <w:t xml:space="preserve"> has been provided in terms of </w:t>
      </w:r>
      <w:r w:rsidR="00D675AE">
        <w:rPr>
          <w:rFonts w:cstheme="minorHAnsi"/>
          <w:sz w:val="23"/>
          <w:szCs w:val="23"/>
          <w:lang w:val="en-GB"/>
        </w:rPr>
        <w:t xml:space="preserve">site selection criteria, </w:t>
      </w:r>
      <w:r w:rsidRPr="008A698B">
        <w:rPr>
          <w:rFonts w:cstheme="minorHAnsi"/>
          <w:sz w:val="23"/>
          <w:szCs w:val="23"/>
          <w:lang w:val="en-GB"/>
        </w:rPr>
        <w:t>locations, intensity</w:t>
      </w:r>
      <w:r w:rsidR="00D675AE">
        <w:rPr>
          <w:rFonts w:cstheme="minorHAnsi"/>
          <w:sz w:val="23"/>
          <w:szCs w:val="23"/>
          <w:lang w:val="en-GB"/>
        </w:rPr>
        <w:t>, size of trees to be removed,</w:t>
      </w:r>
      <w:r w:rsidR="00A03831" w:rsidRPr="008A698B">
        <w:rPr>
          <w:rFonts w:cstheme="minorHAnsi"/>
          <w:sz w:val="23"/>
          <w:szCs w:val="23"/>
          <w:lang w:val="en-GB"/>
        </w:rPr>
        <w:t xml:space="preserve"> or</w:t>
      </w:r>
      <w:r w:rsidRPr="008A698B">
        <w:rPr>
          <w:rFonts w:cstheme="minorHAnsi"/>
          <w:sz w:val="23"/>
          <w:szCs w:val="23"/>
          <w:lang w:val="en-GB"/>
        </w:rPr>
        <w:t xml:space="preserve"> likely impacts</w:t>
      </w:r>
      <w:r w:rsidR="00A03831" w:rsidRPr="008A698B">
        <w:rPr>
          <w:rFonts w:cstheme="minorHAnsi"/>
          <w:sz w:val="23"/>
          <w:szCs w:val="23"/>
        </w:rPr>
        <w:t xml:space="preserve"> </w:t>
      </w:r>
      <w:r w:rsidRPr="008A698B">
        <w:rPr>
          <w:rFonts w:cstheme="minorHAnsi"/>
          <w:sz w:val="23"/>
          <w:szCs w:val="23"/>
          <w:lang w:val="en-GB"/>
        </w:rPr>
        <w:t>on soil, vegetation, fungi, pathogens or fauna.</w:t>
      </w:r>
    </w:p>
    <w:p w14:paraId="5016B64B" w14:textId="77777777" w:rsidR="00A03831" w:rsidRPr="008A698B" w:rsidRDefault="00A03831" w:rsidP="001F29F4">
      <w:pPr>
        <w:rPr>
          <w:rFonts w:cstheme="minorHAnsi"/>
          <w:sz w:val="23"/>
          <w:szCs w:val="23"/>
          <w:lang w:val="en-GB"/>
        </w:rPr>
      </w:pPr>
    </w:p>
    <w:p w14:paraId="0AB855EF" w14:textId="296C0019" w:rsidR="001F29F4" w:rsidRPr="008A698B" w:rsidRDefault="001F29F4" w:rsidP="008A698B">
      <w:pPr>
        <w:spacing w:line="276" w:lineRule="auto"/>
        <w:rPr>
          <w:rFonts w:cstheme="minorHAnsi"/>
          <w:sz w:val="23"/>
          <w:szCs w:val="23"/>
        </w:rPr>
      </w:pPr>
      <w:r w:rsidRPr="008A698B">
        <w:rPr>
          <w:rFonts w:cstheme="minorHAnsi"/>
          <w:sz w:val="23"/>
          <w:szCs w:val="23"/>
        </w:rPr>
        <w:t>Similarly, the manner in which prescribed burning is undertaken, including frequency, intensity, location and weather conditions have a huge bearing on its ecological impacts yet this detail, or any other ecological assessment information</w:t>
      </w:r>
      <w:r w:rsidR="00D675AE">
        <w:rPr>
          <w:rFonts w:cstheme="minorHAnsi"/>
          <w:sz w:val="23"/>
          <w:szCs w:val="23"/>
        </w:rPr>
        <w:t>,</w:t>
      </w:r>
      <w:r w:rsidRPr="008A698B">
        <w:rPr>
          <w:rFonts w:cstheme="minorHAnsi"/>
          <w:sz w:val="23"/>
          <w:szCs w:val="23"/>
        </w:rPr>
        <w:t xml:space="preserve"> is absent from the </w:t>
      </w:r>
      <w:r w:rsidR="00D675AE">
        <w:rPr>
          <w:rFonts w:cstheme="minorHAnsi"/>
          <w:sz w:val="23"/>
          <w:szCs w:val="23"/>
        </w:rPr>
        <w:t xml:space="preserve">Proposed </w:t>
      </w:r>
      <w:r w:rsidRPr="008A698B">
        <w:rPr>
          <w:rFonts w:cstheme="minorHAnsi"/>
          <w:sz w:val="23"/>
          <w:szCs w:val="23"/>
        </w:rPr>
        <w:t>FMP. Broad statements are made about the importance of prescribed burning as a means of biodiversity protection</w:t>
      </w:r>
      <w:r w:rsidR="00D675AE">
        <w:rPr>
          <w:rFonts w:cstheme="minorHAnsi"/>
          <w:sz w:val="23"/>
          <w:szCs w:val="23"/>
        </w:rPr>
        <w:t xml:space="preserve"> and carbon abatement</w:t>
      </w:r>
      <w:r w:rsidRPr="008A698B">
        <w:rPr>
          <w:rFonts w:cstheme="minorHAnsi"/>
          <w:sz w:val="23"/>
          <w:szCs w:val="23"/>
        </w:rPr>
        <w:t>, however little scientific justification for these statements is provided and significant scientific evidence to the contrary is ignored.</w:t>
      </w:r>
    </w:p>
    <w:p w14:paraId="53B8E723" w14:textId="77777777" w:rsidR="00A03831" w:rsidRPr="008A698B" w:rsidRDefault="00A03831" w:rsidP="008A698B">
      <w:pPr>
        <w:spacing w:line="276" w:lineRule="auto"/>
        <w:rPr>
          <w:rFonts w:cstheme="minorHAnsi"/>
          <w:sz w:val="23"/>
          <w:szCs w:val="23"/>
        </w:rPr>
      </w:pPr>
    </w:p>
    <w:p w14:paraId="0BAD37BE" w14:textId="3C42262E" w:rsidR="00A03831" w:rsidRPr="008A698B" w:rsidRDefault="001F29F4" w:rsidP="008A698B">
      <w:pPr>
        <w:spacing w:line="276" w:lineRule="auto"/>
        <w:rPr>
          <w:rFonts w:cstheme="minorHAnsi"/>
          <w:sz w:val="23"/>
          <w:szCs w:val="23"/>
        </w:rPr>
      </w:pPr>
      <w:r w:rsidRPr="008A698B">
        <w:rPr>
          <w:rFonts w:cstheme="minorHAnsi"/>
          <w:sz w:val="23"/>
          <w:szCs w:val="23"/>
        </w:rPr>
        <w:t xml:space="preserve">Given these deficiencies, </w:t>
      </w:r>
      <w:r w:rsidR="00A03831" w:rsidRPr="008A698B">
        <w:rPr>
          <w:rFonts w:cstheme="minorHAnsi"/>
          <w:sz w:val="23"/>
          <w:szCs w:val="23"/>
        </w:rPr>
        <w:t xml:space="preserve">WAFA submitted to the EPA that a full public assessment of the Proposed FMP was required and that a far greater level of detail must be provided by the proponent </w:t>
      </w:r>
      <w:r w:rsidR="00D675AE">
        <w:rPr>
          <w:rFonts w:cstheme="minorHAnsi"/>
          <w:sz w:val="23"/>
          <w:szCs w:val="23"/>
        </w:rPr>
        <w:t xml:space="preserve">(DBCA and CPC) </w:t>
      </w:r>
      <w:r w:rsidR="00A03831" w:rsidRPr="008A698B">
        <w:rPr>
          <w:rFonts w:cstheme="minorHAnsi"/>
          <w:sz w:val="23"/>
          <w:szCs w:val="23"/>
        </w:rPr>
        <w:t xml:space="preserve">on the proposed activities and their likely environmental impacts. </w:t>
      </w:r>
      <w:r w:rsidR="00A03831" w:rsidRPr="008A698B">
        <w:rPr>
          <w:rFonts w:cstheme="minorHAnsi"/>
          <w:sz w:val="23"/>
          <w:szCs w:val="23"/>
        </w:rPr>
        <w:br/>
      </w:r>
    </w:p>
    <w:p w14:paraId="4186984A" w14:textId="394450C7" w:rsidR="001F29F4" w:rsidRPr="008A698B" w:rsidRDefault="00A03831" w:rsidP="008A698B">
      <w:pPr>
        <w:spacing w:line="276" w:lineRule="auto"/>
        <w:rPr>
          <w:rFonts w:cstheme="minorHAnsi"/>
          <w:sz w:val="23"/>
          <w:szCs w:val="23"/>
        </w:rPr>
      </w:pPr>
      <w:r w:rsidRPr="008A698B">
        <w:rPr>
          <w:rFonts w:cstheme="minorHAnsi"/>
          <w:sz w:val="23"/>
          <w:szCs w:val="23"/>
        </w:rPr>
        <w:t>The EPA</w:t>
      </w:r>
      <w:r w:rsidR="007F615F" w:rsidRPr="008A698B">
        <w:rPr>
          <w:rFonts w:cstheme="minorHAnsi"/>
          <w:sz w:val="23"/>
          <w:szCs w:val="23"/>
        </w:rPr>
        <w:t xml:space="preserve"> has instead carried out a high-level, superficial assessment on referral information in the absence of detailed information. As a result, the report does not contain any specific, substantive assessment of likely impacts; any prescriptive requirements to avoid or mitigate them; or an adequate suite of recommended conditions. </w:t>
      </w:r>
    </w:p>
    <w:p w14:paraId="0F938086" w14:textId="446F4BA2" w:rsidR="008C719C" w:rsidRPr="008A698B" w:rsidRDefault="008C719C" w:rsidP="008A698B">
      <w:pPr>
        <w:shd w:val="clear" w:color="auto" w:fill="FFFFFF"/>
        <w:spacing w:line="276" w:lineRule="auto"/>
        <w:rPr>
          <w:rFonts w:cstheme="minorHAnsi"/>
          <w:sz w:val="23"/>
          <w:szCs w:val="23"/>
        </w:rPr>
      </w:pPr>
    </w:p>
    <w:p w14:paraId="7CB55280" w14:textId="3955922C" w:rsidR="007F615F" w:rsidRPr="008A698B" w:rsidRDefault="007F615F" w:rsidP="008A698B">
      <w:pPr>
        <w:shd w:val="clear" w:color="auto" w:fill="FFFFFF"/>
        <w:spacing w:line="276" w:lineRule="auto"/>
        <w:rPr>
          <w:rFonts w:cstheme="minorHAnsi"/>
          <w:i/>
          <w:iCs/>
          <w:sz w:val="23"/>
          <w:szCs w:val="23"/>
        </w:rPr>
      </w:pPr>
      <w:r w:rsidRPr="008A698B">
        <w:rPr>
          <w:rFonts w:cstheme="minorHAnsi"/>
          <w:sz w:val="23"/>
          <w:szCs w:val="23"/>
        </w:rPr>
        <w:t xml:space="preserve">WAFA assumes that the EPA conducted the assessment in this way because its assessment </w:t>
      </w:r>
      <w:r w:rsidR="008A698B" w:rsidRPr="008A698B">
        <w:rPr>
          <w:rFonts w:cstheme="minorHAnsi"/>
          <w:sz w:val="23"/>
          <w:szCs w:val="23"/>
        </w:rPr>
        <w:t>was</w:t>
      </w:r>
      <w:r w:rsidRPr="008A698B">
        <w:rPr>
          <w:rFonts w:cstheme="minorHAnsi"/>
          <w:sz w:val="23"/>
          <w:szCs w:val="23"/>
        </w:rPr>
        <w:t xml:space="preserve"> that other Decision-Making Authorities are adequate to ensure that environmental protections are in place. If this is the case, we submit to the Appeals Convenor that this assessment </w:t>
      </w:r>
      <w:r w:rsidR="008A698B" w:rsidRPr="008A698B">
        <w:rPr>
          <w:rFonts w:cstheme="minorHAnsi"/>
          <w:sz w:val="23"/>
          <w:szCs w:val="23"/>
        </w:rPr>
        <w:t xml:space="preserve">needs to </w:t>
      </w:r>
      <w:r w:rsidRPr="008A698B">
        <w:rPr>
          <w:rFonts w:cstheme="minorHAnsi"/>
          <w:sz w:val="23"/>
          <w:szCs w:val="23"/>
        </w:rPr>
        <w:t>be closely interrogated. It is our view</w:t>
      </w:r>
      <w:r w:rsidR="00D675AE">
        <w:rPr>
          <w:rFonts w:cstheme="minorHAnsi"/>
          <w:sz w:val="23"/>
          <w:szCs w:val="23"/>
        </w:rPr>
        <w:t>, and experience from previous FMPs,</w:t>
      </w:r>
      <w:r w:rsidRPr="008A698B">
        <w:rPr>
          <w:rFonts w:cstheme="minorHAnsi"/>
          <w:sz w:val="23"/>
          <w:szCs w:val="23"/>
        </w:rPr>
        <w:t xml:space="preserve"> that other Decision-Making Authorities are </w:t>
      </w:r>
      <w:r w:rsidR="00D675AE">
        <w:rPr>
          <w:rFonts w:cstheme="minorHAnsi"/>
          <w:sz w:val="23"/>
          <w:szCs w:val="23"/>
        </w:rPr>
        <w:t>demonstrably</w:t>
      </w:r>
      <w:r w:rsidRPr="008A698B">
        <w:rPr>
          <w:rFonts w:cstheme="minorHAnsi"/>
          <w:sz w:val="23"/>
          <w:szCs w:val="23"/>
        </w:rPr>
        <w:t xml:space="preserve"> inadequate and that a detailed, substantive assessment and a comprehensive suite of prescriptive (rather than broad and subjective) enforceable conditions must </w:t>
      </w:r>
      <w:r w:rsidRPr="008A698B">
        <w:rPr>
          <w:rFonts w:cstheme="minorHAnsi"/>
          <w:sz w:val="23"/>
          <w:szCs w:val="23"/>
        </w:rPr>
        <w:lastRenderedPageBreak/>
        <w:t>be imposed on the FMP to ensure that major environmental impacts are avoided</w:t>
      </w:r>
      <w:r w:rsidR="00D675AE">
        <w:rPr>
          <w:rFonts w:cstheme="minorHAnsi"/>
          <w:sz w:val="23"/>
          <w:szCs w:val="23"/>
        </w:rPr>
        <w:t>.</w:t>
      </w:r>
      <w:r w:rsidRPr="008A698B">
        <w:rPr>
          <w:rFonts w:cstheme="minorHAnsi"/>
          <w:sz w:val="23"/>
          <w:szCs w:val="23"/>
        </w:rPr>
        <w:t xml:space="preserve"> </w:t>
      </w:r>
      <w:r w:rsidR="008A698B" w:rsidRPr="008A698B">
        <w:rPr>
          <w:rFonts w:cstheme="minorHAnsi"/>
          <w:sz w:val="23"/>
          <w:szCs w:val="23"/>
        </w:rPr>
        <w:t xml:space="preserve">(Please see attached </w:t>
      </w:r>
      <w:r w:rsidR="008A698B" w:rsidRPr="008A698B">
        <w:rPr>
          <w:rFonts w:cstheme="minorHAnsi"/>
          <w:i/>
          <w:iCs/>
          <w:sz w:val="23"/>
          <w:szCs w:val="23"/>
        </w:rPr>
        <w:t>Analysis of limitations of DM processes re FMP)</w:t>
      </w:r>
      <w:r w:rsidR="00D675AE">
        <w:rPr>
          <w:rFonts w:cstheme="minorHAnsi"/>
          <w:i/>
          <w:iCs/>
          <w:sz w:val="23"/>
          <w:szCs w:val="23"/>
        </w:rPr>
        <w:t>.</w:t>
      </w:r>
    </w:p>
    <w:p w14:paraId="26138053" w14:textId="552EA98C" w:rsidR="007F615F" w:rsidRPr="008A698B" w:rsidRDefault="007F615F" w:rsidP="008A698B">
      <w:pPr>
        <w:shd w:val="clear" w:color="auto" w:fill="FFFFFF"/>
        <w:spacing w:line="276" w:lineRule="auto"/>
        <w:rPr>
          <w:sz w:val="23"/>
          <w:szCs w:val="23"/>
        </w:rPr>
      </w:pPr>
    </w:p>
    <w:p w14:paraId="72F6E3E4" w14:textId="77777777" w:rsidR="008C719C" w:rsidRPr="007343E3" w:rsidRDefault="008C719C" w:rsidP="008C719C">
      <w:pPr>
        <w:shd w:val="clear" w:color="auto" w:fill="FFFFFF"/>
        <w:rPr>
          <w:rFonts w:eastAsia="Times New Roman" w:cstheme="minorHAnsi"/>
          <w:b/>
          <w:bCs/>
          <w:color w:val="222222"/>
          <w:sz w:val="23"/>
          <w:szCs w:val="23"/>
          <w:lang w:eastAsia="en-GB"/>
        </w:rPr>
      </w:pPr>
    </w:p>
    <w:p w14:paraId="6080AFFB" w14:textId="3A5C4EE6" w:rsidR="008C719C" w:rsidRDefault="008C719C" w:rsidP="008C719C">
      <w:pPr>
        <w:shd w:val="clear" w:color="auto" w:fill="FFFFFF"/>
        <w:rPr>
          <w:rFonts w:eastAsia="Times New Roman" w:cstheme="minorHAnsi"/>
          <w:b/>
          <w:bCs/>
          <w:color w:val="222222"/>
          <w:sz w:val="23"/>
          <w:szCs w:val="23"/>
          <w:lang w:eastAsia="en-GB"/>
        </w:rPr>
      </w:pPr>
    </w:p>
    <w:p w14:paraId="027151EB" w14:textId="77777777" w:rsidR="00E06EA7" w:rsidRDefault="00E06EA7" w:rsidP="008C719C">
      <w:pPr>
        <w:shd w:val="clear" w:color="auto" w:fill="FFFFFF"/>
        <w:rPr>
          <w:rFonts w:eastAsia="Times New Roman" w:cstheme="minorHAnsi"/>
          <w:b/>
          <w:bCs/>
          <w:color w:val="222222"/>
          <w:sz w:val="23"/>
          <w:szCs w:val="23"/>
          <w:lang w:eastAsia="en-GB"/>
        </w:rPr>
      </w:pPr>
    </w:p>
    <w:p w14:paraId="024B8DC6" w14:textId="390CE16C" w:rsidR="008A698B" w:rsidRPr="00E06EA7" w:rsidRDefault="008A698B" w:rsidP="008C719C">
      <w:pPr>
        <w:shd w:val="clear" w:color="auto" w:fill="FFFFFF"/>
        <w:rPr>
          <w:rFonts w:eastAsia="Times New Roman" w:cstheme="minorHAnsi"/>
          <w:b/>
          <w:bCs/>
          <w:color w:val="222222"/>
          <w:lang w:eastAsia="en-GB"/>
        </w:rPr>
      </w:pPr>
      <w:r w:rsidRPr="00E06EA7">
        <w:rPr>
          <w:rFonts w:eastAsia="Times New Roman" w:cstheme="minorHAnsi"/>
          <w:b/>
          <w:bCs/>
          <w:color w:val="222222"/>
          <w:lang w:eastAsia="en-GB"/>
        </w:rPr>
        <w:t xml:space="preserve">Grounds of appeal </w:t>
      </w:r>
    </w:p>
    <w:p w14:paraId="785029CE" w14:textId="77777777" w:rsidR="008C719C" w:rsidRPr="008C719C" w:rsidRDefault="008C719C" w:rsidP="008C719C">
      <w:pPr>
        <w:shd w:val="clear" w:color="auto" w:fill="FFFFFF"/>
        <w:rPr>
          <w:rFonts w:eastAsia="Times New Roman" w:cstheme="minorHAnsi"/>
          <w:color w:val="222222"/>
          <w:sz w:val="23"/>
          <w:szCs w:val="23"/>
          <w:lang w:eastAsia="en-GB"/>
        </w:rPr>
      </w:pPr>
      <w:r w:rsidRPr="008C719C">
        <w:rPr>
          <w:rFonts w:eastAsia="Times New Roman" w:cstheme="minorHAnsi"/>
          <w:color w:val="222222"/>
          <w:sz w:val="23"/>
          <w:szCs w:val="23"/>
          <w:lang w:eastAsia="en-GB"/>
        </w:rPr>
        <w:t> </w:t>
      </w:r>
    </w:p>
    <w:p w14:paraId="017348CD" w14:textId="231E12D0" w:rsidR="00E06EA7" w:rsidRPr="00E06EA7" w:rsidRDefault="008C719C" w:rsidP="008C719C">
      <w:pPr>
        <w:numPr>
          <w:ilvl w:val="0"/>
          <w:numId w:val="1"/>
        </w:numPr>
        <w:shd w:val="clear" w:color="auto" w:fill="FFFFFF"/>
        <w:spacing w:after="160" w:line="233" w:lineRule="atLeast"/>
        <w:rPr>
          <w:rFonts w:eastAsia="Times New Roman" w:cstheme="minorHAnsi"/>
          <w:color w:val="222222"/>
          <w:sz w:val="23"/>
          <w:szCs w:val="23"/>
          <w:lang w:eastAsia="en-GB"/>
        </w:rPr>
      </w:pPr>
      <w:r w:rsidRPr="008C719C">
        <w:rPr>
          <w:rFonts w:eastAsia="Times New Roman" w:cstheme="minorHAnsi"/>
          <w:b/>
          <w:bCs/>
          <w:color w:val="222222"/>
          <w:sz w:val="23"/>
          <w:szCs w:val="23"/>
          <w:lang w:eastAsia="en-GB"/>
        </w:rPr>
        <w:t xml:space="preserve">Inadequate </w:t>
      </w:r>
      <w:r w:rsidR="00591A36">
        <w:rPr>
          <w:rFonts w:eastAsia="Times New Roman" w:cstheme="minorHAnsi"/>
          <w:b/>
          <w:bCs/>
          <w:color w:val="222222"/>
          <w:sz w:val="23"/>
          <w:szCs w:val="23"/>
          <w:lang w:eastAsia="en-GB"/>
        </w:rPr>
        <w:t>inclusion</w:t>
      </w:r>
      <w:r w:rsidRPr="008C719C">
        <w:rPr>
          <w:rFonts w:eastAsia="Times New Roman" w:cstheme="minorHAnsi"/>
          <w:b/>
          <w:bCs/>
          <w:color w:val="222222"/>
          <w:sz w:val="23"/>
          <w:szCs w:val="23"/>
          <w:lang w:eastAsia="en-GB"/>
        </w:rPr>
        <w:t xml:space="preserve"> of </w:t>
      </w:r>
      <w:r w:rsidR="00613384">
        <w:rPr>
          <w:rFonts w:eastAsia="Times New Roman" w:cstheme="minorHAnsi"/>
          <w:b/>
          <w:bCs/>
          <w:color w:val="222222"/>
          <w:sz w:val="23"/>
          <w:szCs w:val="23"/>
          <w:lang w:eastAsia="en-GB"/>
        </w:rPr>
        <w:t>relevant factors</w:t>
      </w:r>
      <w:r w:rsidR="00E06EA7">
        <w:rPr>
          <w:rFonts w:eastAsia="Times New Roman" w:cstheme="minorHAnsi"/>
          <w:b/>
          <w:bCs/>
          <w:color w:val="222222"/>
          <w:sz w:val="23"/>
          <w:szCs w:val="23"/>
          <w:lang w:eastAsia="en-GB"/>
        </w:rPr>
        <w:t xml:space="preserve"> </w:t>
      </w:r>
      <w:r w:rsidR="005F52FD">
        <w:rPr>
          <w:rFonts w:eastAsia="Times New Roman" w:cstheme="minorHAnsi"/>
          <w:b/>
          <w:bCs/>
          <w:color w:val="222222"/>
          <w:sz w:val="23"/>
          <w:szCs w:val="23"/>
          <w:lang w:eastAsia="en-GB"/>
        </w:rPr>
        <w:t>–</w:t>
      </w:r>
      <w:r w:rsidR="00613384">
        <w:rPr>
          <w:rFonts w:eastAsia="Times New Roman" w:cstheme="minorHAnsi"/>
          <w:b/>
          <w:bCs/>
          <w:color w:val="222222"/>
          <w:sz w:val="23"/>
          <w:szCs w:val="23"/>
          <w:lang w:eastAsia="en-GB"/>
        </w:rPr>
        <w:t xml:space="preserve"> </w:t>
      </w:r>
      <w:r w:rsidR="005F52FD">
        <w:rPr>
          <w:rFonts w:eastAsia="Times New Roman" w:cstheme="minorHAnsi"/>
          <w:b/>
          <w:bCs/>
          <w:color w:val="222222"/>
          <w:sz w:val="23"/>
          <w:szCs w:val="23"/>
          <w:lang w:eastAsia="en-GB"/>
        </w:rPr>
        <w:t xml:space="preserve">failure to include GHG, Air Quality and Human Health. </w:t>
      </w:r>
    </w:p>
    <w:p w14:paraId="4D5088FC" w14:textId="1C232E3A" w:rsidR="00E06EA7" w:rsidRPr="00847A7F" w:rsidRDefault="00E06EA7" w:rsidP="00847A7F">
      <w:pPr>
        <w:shd w:val="clear" w:color="auto" w:fill="FFFFFF"/>
        <w:spacing w:after="160" w:line="276" w:lineRule="auto"/>
        <w:rPr>
          <w:rFonts w:eastAsia="Times New Roman" w:cstheme="minorHAnsi"/>
          <w:i/>
          <w:iCs/>
          <w:color w:val="222222"/>
          <w:sz w:val="23"/>
          <w:szCs w:val="23"/>
          <w:lang w:eastAsia="en-GB"/>
        </w:rPr>
      </w:pPr>
      <w:r w:rsidRPr="00847A7F">
        <w:rPr>
          <w:rFonts w:eastAsia="Times New Roman" w:cstheme="minorHAnsi"/>
          <w:color w:val="222222"/>
          <w:sz w:val="23"/>
          <w:szCs w:val="23"/>
          <w:lang w:eastAsia="en-GB"/>
        </w:rPr>
        <w:t>The EPA identified Flora and Vegetation, Terrestrial Fauna, Inland Waters and Social Surroundings as the factors for its assessment. WAFA and others submitted to the EPA that there was a clear need</w:t>
      </w:r>
      <w:r w:rsidR="005F52FD" w:rsidRPr="00847A7F">
        <w:rPr>
          <w:rFonts w:eastAsia="Times New Roman" w:cstheme="minorHAnsi"/>
          <w:color w:val="222222"/>
          <w:sz w:val="23"/>
          <w:szCs w:val="23"/>
          <w:lang w:eastAsia="en-GB"/>
        </w:rPr>
        <w:t xml:space="preserve"> </w:t>
      </w:r>
      <w:r w:rsidRPr="00847A7F">
        <w:rPr>
          <w:rFonts w:eastAsia="Times New Roman" w:cstheme="minorHAnsi"/>
          <w:color w:val="222222"/>
          <w:sz w:val="23"/>
          <w:szCs w:val="23"/>
          <w:lang w:eastAsia="en-GB"/>
        </w:rPr>
        <w:t xml:space="preserve">to also assess </w:t>
      </w:r>
      <w:r w:rsidR="00847A7F">
        <w:rPr>
          <w:rFonts w:eastAsia="Times New Roman" w:cstheme="minorHAnsi"/>
          <w:color w:val="222222"/>
          <w:sz w:val="23"/>
          <w:szCs w:val="23"/>
          <w:lang w:eastAsia="en-GB"/>
        </w:rPr>
        <w:t>in terms of</w:t>
      </w:r>
      <w:r w:rsidRPr="00847A7F">
        <w:rPr>
          <w:rFonts w:eastAsia="Times New Roman" w:cstheme="minorHAnsi"/>
          <w:color w:val="222222"/>
          <w:sz w:val="23"/>
          <w:szCs w:val="23"/>
          <w:lang w:eastAsia="en-GB"/>
        </w:rPr>
        <w:t xml:space="preserve"> the EPA factors Greenhouse Gas Emissions</w:t>
      </w:r>
      <w:r w:rsidR="00613384" w:rsidRPr="00847A7F">
        <w:rPr>
          <w:rFonts w:eastAsia="Times New Roman" w:cstheme="minorHAnsi"/>
          <w:color w:val="222222"/>
          <w:sz w:val="23"/>
          <w:szCs w:val="23"/>
          <w:lang w:eastAsia="en-GB"/>
        </w:rPr>
        <w:t xml:space="preserve"> (GHG)</w:t>
      </w:r>
      <w:r w:rsidRPr="00847A7F">
        <w:rPr>
          <w:rFonts w:eastAsia="Times New Roman" w:cstheme="minorHAnsi"/>
          <w:color w:val="222222"/>
          <w:sz w:val="23"/>
          <w:szCs w:val="23"/>
          <w:lang w:eastAsia="en-GB"/>
        </w:rPr>
        <w:t xml:space="preserve">, Air Quality and Human Health (please see attached </w:t>
      </w:r>
      <w:r w:rsidRPr="00847A7F">
        <w:rPr>
          <w:rFonts w:eastAsia="Times New Roman" w:cstheme="minorHAnsi"/>
          <w:i/>
          <w:iCs/>
          <w:color w:val="222222"/>
          <w:sz w:val="23"/>
          <w:szCs w:val="23"/>
          <w:lang w:eastAsia="en-GB"/>
        </w:rPr>
        <w:t xml:space="preserve">Submissions to EPA on FMP – GHG and Air Quality_Health). </w:t>
      </w:r>
    </w:p>
    <w:p w14:paraId="5B948E76" w14:textId="7CA6EBD8" w:rsidR="00613384" w:rsidRPr="00847A7F" w:rsidRDefault="00613384" w:rsidP="00847A7F">
      <w:pPr>
        <w:shd w:val="clear" w:color="auto" w:fill="FFFFFF"/>
        <w:spacing w:after="160" w:line="276" w:lineRule="auto"/>
        <w:rPr>
          <w:rFonts w:eastAsia="Times New Roman" w:cstheme="minorHAnsi"/>
          <w:color w:val="222222"/>
          <w:sz w:val="23"/>
          <w:szCs w:val="23"/>
          <w:lang w:eastAsia="en-GB"/>
        </w:rPr>
      </w:pPr>
      <w:r w:rsidRPr="00847A7F">
        <w:rPr>
          <w:rFonts w:eastAsia="Times New Roman" w:cstheme="minorHAnsi"/>
          <w:color w:val="222222"/>
          <w:sz w:val="23"/>
          <w:szCs w:val="23"/>
          <w:lang w:eastAsia="en-GB"/>
        </w:rPr>
        <w:t xml:space="preserve">Prescribed burning and thinning have the potential to release </w:t>
      </w:r>
      <w:r w:rsidR="005F52FD" w:rsidRPr="00847A7F">
        <w:rPr>
          <w:rFonts w:eastAsia="Times New Roman" w:cstheme="minorHAnsi"/>
          <w:color w:val="222222"/>
          <w:sz w:val="23"/>
          <w:szCs w:val="23"/>
          <w:lang w:eastAsia="en-GB"/>
        </w:rPr>
        <w:t xml:space="preserve">up to 88.87 Mt of GHG emissions over the period of the FMP. </w:t>
      </w:r>
    </w:p>
    <w:p w14:paraId="2DBAE977" w14:textId="0C27601B" w:rsidR="005F52FD" w:rsidRPr="00847A7F" w:rsidRDefault="00613384" w:rsidP="00847A7F">
      <w:pPr>
        <w:shd w:val="clear" w:color="auto" w:fill="FFFFFF"/>
        <w:spacing w:after="160" w:line="276" w:lineRule="auto"/>
        <w:rPr>
          <w:rFonts w:eastAsia="Times New Roman" w:cstheme="minorHAnsi"/>
          <w:color w:val="222222"/>
          <w:sz w:val="23"/>
          <w:szCs w:val="23"/>
          <w:lang w:eastAsia="en-GB"/>
        </w:rPr>
      </w:pPr>
      <w:r w:rsidRPr="00847A7F">
        <w:rPr>
          <w:rFonts w:eastAsia="Times New Roman" w:cstheme="minorHAnsi"/>
          <w:color w:val="222222"/>
          <w:sz w:val="23"/>
          <w:szCs w:val="23"/>
          <w:lang w:eastAsia="en-GB"/>
        </w:rPr>
        <w:t>DBCA estimates of thinning emissions indicate that the program could release as much as 1.87Mt of CO</w:t>
      </w:r>
      <w:r w:rsidRPr="00847A7F">
        <w:rPr>
          <w:rFonts w:eastAsia="Times New Roman" w:cstheme="minorHAnsi"/>
          <w:color w:val="222222"/>
          <w:sz w:val="23"/>
          <w:szCs w:val="23"/>
          <w:vertAlign w:val="superscript"/>
          <w:lang w:eastAsia="en-GB"/>
        </w:rPr>
        <w:t xml:space="preserve">2 </w:t>
      </w:r>
      <w:r w:rsidRPr="00847A7F">
        <w:rPr>
          <w:rFonts w:eastAsia="Times New Roman" w:cstheme="minorHAnsi"/>
          <w:color w:val="222222"/>
          <w:sz w:val="23"/>
          <w:szCs w:val="23"/>
          <w:lang w:eastAsia="en-GB"/>
        </w:rPr>
        <w:t>per year. No estimates of emissions from prescribed burning have been provided – which is unacceptable in the first instance – but using a range of estimates from similar forests and burning regimes in Eastern Australia, it can be estimated that the program would release between 5 and 7 Mt of CO</w:t>
      </w:r>
      <w:r w:rsidRPr="00847A7F">
        <w:rPr>
          <w:rFonts w:eastAsia="Times New Roman" w:cstheme="minorHAnsi"/>
          <w:color w:val="222222"/>
          <w:sz w:val="23"/>
          <w:szCs w:val="23"/>
          <w:vertAlign w:val="superscript"/>
          <w:lang w:eastAsia="en-GB"/>
        </w:rPr>
        <w:t xml:space="preserve">2 </w:t>
      </w:r>
      <w:r w:rsidRPr="00847A7F">
        <w:rPr>
          <w:rFonts w:eastAsia="Times New Roman" w:cstheme="minorHAnsi"/>
          <w:color w:val="222222"/>
          <w:sz w:val="23"/>
          <w:szCs w:val="23"/>
          <w:lang w:eastAsia="en-GB"/>
        </w:rPr>
        <w:t xml:space="preserve">per annum. </w:t>
      </w:r>
      <w:r w:rsidR="005F52FD" w:rsidRPr="00847A7F">
        <w:rPr>
          <w:rFonts w:eastAsia="Times New Roman" w:cstheme="minorHAnsi"/>
          <w:color w:val="222222"/>
          <w:sz w:val="23"/>
          <w:szCs w:val="23"/>
          <w:lang w:eastAsia="en-GB"/>
        </w:rPr>
        <w:t xml:space="preserve">Over the 10-year period of the plan, this equals an upper level estimate of 88.87 Mt of emissions, clearly triggering the EPA’s GHG Environmental Factor Guideline. </w:t>
      </w:r>
      <w:r w:rsidR="005F52FD" w:rsidRPr="00847A7F">
        <w:rPr>
          <w:rFonts w:eastAsia="Times New Roman" w:cstheme="minorHAnsi"/>
          <w:color w:val="222222"/>
          <w:sz w:val="23"/>
          <w:szCs w:val="23"/>
          <w:lang w:eastAsia="en-GB"/>
        </w:rPr>
        <w:br/>
      </w:r>
      <w:r w:rsidR="005F52FD" w:rsidRPr="00847A7F">
        <w:rPr>
          <w:rFonts w:eastAsia="Times New Roman" w:cstheme="minorHAnsi"/>
          <w:color w:val="222222"/>
          <w:sz w:val="23"/>
          <w:szCs w:val="23"/>
          <w:lang w:eastAsia="en-GB"/>
        </w:rPr>
        <w:br/>
        <w:t xml:space="preserve">The EPA acknowledged the need for the GHG emissions resulting from prescribed burning to be assessed in the Other Advice provided to the Minister, but it has not conducted any assessment itself, or made any recommendations for Ministerial Conditions to limit or avoid these emissions. </w:t>
      </w:r>
      <w:r w:rsidR="00847A7F">
        <w:rPr>
          <w:rFonts w:eastAsia="Times New Roman" w:cstheme="minorHAnsi"/>
          <w:color w:val="222222"/>
          <w:sz w:val="23"/>
          <w:szCs w:val="23"/>
          <w:lang w:eastAsia="en-GB"/>
        </w:rPr>
        <w:t>The recommendations for a review into prescribed burning, and the inclusion of GHG emissions in the terms of reference, is supported. However, there is no certainty that such a review will go ahead or that it will be conducted by appropriate experts, or that its findings w</w:t>
      </w:r>
      <w:r w:rsidR="0078370F">
        <w:rPr>
          <w:rFonts w:eastAsia="Times New Roman" w:cstheme="minorHAnsi"/>
          <w:color w:val="222222"/>
          <w:sz w:val="23"/>
          <w:szCs w:val="23"/>
          <w:lang w:eastAsia="en-GB"/>
        </w:rPr>
        <w:t>ou</w:t>
      </w:r>
      <w:r w:rsidR="00847A7F">
        <w:rPr>
          <w:rFonts w:eastAsia="Times New Roman" w:cstheme="minorHAnsi"/>
          <w:color w:val="222222"/>
          <w:sz w:val="23"/>
          <w:szCs w:val="23"/>
          <w:lang w:eastAsia="en-GB"/>
        </w:rPr>
        <w:t>l</w:t>
      </w:r>
      <w:r w:rsidR="0078370F">
        <w:rPr>
          <w:rFonts w:eastAsia="Times New Roman" w:cstheme="minorHAnsi"/>
          <w:color w:val="222222"/>
          <w:sz w:val="23"/>
          <w:szCs w:val="23"/>
          <w:lang w:eastAsia="en-GB"/>
        </w:rPr>
        <w:t>d</w:t>
      </w:r>
      <w:r w:rsidR="00847A7F">
        <w:rPr>
          <w:rFonts w:eastAsia="Times New Roman" w:cstheme="minorHAnsi"/>
          <w:color w:val="222222"/>
          <w:sz w:val="23"/>
          <w:szCs w:val="23"/>
          <w:lang w:eastAsia="en-GB"/>
        </w:rPr>
        <w:t xml:space="preserve"> be meaningfully adopted. The EPA should not have approved the plan without a proper substantive assessment</w:t>
      </w:r>
      <w:r w:rsidR="0078370F">
        <w:rPr>
          <w:rFonts w:eastAsia="Times New Roman" w:cstheme="minorHAnsi"/>
          <w:color w:val="222222"/>
          <w:sz w:val="23"/>
          <w:szCs w:val="23"/>
          <w:lang w:eastAsia="en-GB"/>
        </w:rPr>
        <w:t xml:space="preserve"> of the likely GHG emissions. </w:t>
      </w:r>
      <w:r w:rsidR="00847A7F">
        <w:rPr>
          <w:rFonts w:eastAsia="Times New Roman" w:cstheme="minorHAnsi"/>
          <w:color w:val="222222"/>
          <w:sz w:val="23"/>
          <w:szCs w:val="23"/>
          <w:lang w:eastAsia="en-GB"/>
        </w:rPr>
        <w:t xml:space="preserve"> </w:t>
      </w:r>
    </w:p>
    <w:p w14:paraId="1C577632" w14:textId="77777777" w:rsidR="00847A7F" w:rsidRPr="00847A7F" w:rsidRDefault="00847A7F" w:rsidP="00847A7F">
      <w:pPr>
        <w:pStyle w:val="Default"/>
        <w:spacing w:line="276" w:lineRule="auto"/>
        <w:rPr>
          <w:sz w:val="23"/>
          <w:szCs w:val="23"/>
        </w:rPr>
      </w:pPr>
      <w:r w:rsidRPr="00847A7F">
        <w:rPr>
          <w:sz w:val="23"/>
          <w:szCs w:val="23"/>
        </w:rPr>
        <w:t xml:space="preserve">Analysis of health impacts of prescribed burning in Western Australia between 2002 and 2017 published in the </w:t>
      </w:r>
      <w:r w:rsidRPr="00847A7F">
        <w:rPr>
          <w:i/>
          <w:iCs/>
          <w:sz w:val="23"/>
          <w:szCs w:val="23"/>
        </w:rPr>
        <w:t>Medical Journal of Australia</w:t>
      </w:r>
      <w:r w:rsidRPr="00847A7F">
        <w:rPr>
          <w:sz w:val="23"/>
          <w:szCs w:val="23"/>
        </w:rPr>
        <w:t xml:space="preserve">5 shows that smoke from prescribed burning exerts a higher mortality than any other source of particulate pollution (including wildfires). The study also finds that mortality attributable to smoke from prescribed burning is far higher than direct mortality from wildfires caused by flames, heat and other direct impacts. </w:t>
      </w:r>
    </w:p>
    <w:p w14:paraId="6B6495AA" w14:textId="625E2A50" w:rsidR="005F52FD" w:rsidRPr="00847A7F" w:rsidRDefault="00847A7F" w:rsidP="00847A7F">
      <w:pPr>
        <w:shd w:val="clear" w:color="auto" w:fill="FFFFFF"/>
        <w:spacing w:after="160" w:line="276" w:lineRule="auto"/>
        <w:rPr>
          <w:rFonts w:eastAsia="Times New Roman" w:cstheme="minorHAnsi"/>
          <w:color w:val="222222"/>
          <w:sz w:val="23"/>
          <w:szCs w:val="23"/>
          <w:lang w:eastAsia="en-GB"/>
        </w:rPr>
      </w:pPr>
      <w:r w:rsidRPr="00847A7F">
        <w:rPr>
          <w:sz w:val="23"/>
          <w:szCs w:val="23"/>
        </w:rPr>
        <w:t>The study estimated with a 95% confidence that smoke from prescribed burns killed an estimated 21 people in Western Australia over a 15-year period – a rate of 1.4 people per annum. This exceeds the rate of death directly from bushfires (0.5 per annum) and the death rate from wildfire smoke (1.1 per annum.6 As the authors of this study point out, this analysis is likely to be conservative as it included only days when PM2.5 concentrations exceeded the national standard, excluding smoky days on which the air quality standard was not breached and the selection of health outcomes did not encompass the total health burden attributable to smoke exposure.</w:t>
      </w:r>
    </w:p>
    <w:p w14:paraId="4747BB46" w14:textId="6D176EB2" w:rsidR="00613384" w:rsidRDefault="005F52FD" w:rsidP="00BD7E6F">
      <w:pPr>
        <w:shd w:val="clear" w:color="auto" w:fill="FFFFFF"/>
        <w:spacing w:after="160" w:line="276" w:lineRule="auto"/>
        <w:rPr>
          <w:rFonts w:eastAsia="Times New Roman" w:cstheme="minorHAnsi"/>
          <w:color w:val="222222"/>
          <w:sz w:val="23"/>
          <w:szCs w:val="23"/>
          <w:lang w:eastAsia="en-GB"/>
        </w:rPr>
      </w:pPr>
      <w:r w:rsidRPr="00847A7F">
        <w:rPr>
          <w:rFonts w:eastAsia="Times New Roman" w:cstheme="minorHAnsi"/>
          <w:color w:val="222222"/>
          <w:sz w:val="23"/>
          <w:szCs w:val="23"/>
          <w:lang w:eastAsia="en-GB"/>
        </w:rPr>
        <w:t xml:space="preserve">The EPA has not given any explanation for omitting these factors from its assessment. </w:t>
      </w:r>
      <w:r w:rsidR="0078370F">
        <w:rPr>
          <w:rFonts w:eastAsia="Times New Roman" w:cstheme="minorHAnsi"/>
          <w:color w:val="222222"/>
          <w:sz w:val="23"/>
          <w:szCs w:val="23"/>
          <w:lang w:eastAsia="en-GB"/>
        </w:rPr>
        <w:t xml:space="preserve">WAFA submits that the </w:t>
      </w:r>
      <w:r w:rsidR="00B4509F">
        <w:rPr>
          <w:rFonts w:eastAsia="Times New Roman" w:cstheme="minorHAnsi"/>
          <w:color w:val="222222"/>
          <w:sz w:val="23"/>
          <w:szCs w:val="23"/>
          <w:lang w:eastAsia="en-GB"/>
        </w:rPr>
        <w:t xml:space="preserve">Proposed FMP should be remitted to the EPA for a detailed assessment on these factors, and </w:t>
      </w:r>
      <w:r w:rsidR="00B4509F">
        <w:rPr>
          <w:rFonts w:eastAsia="Times New Roman" w:cstheme="minorHAnsi"/>
          <w:color w:val="222222"/>
          <w:sz w:val="23"/>
          <w:szCs w:val="23"/>
          <w:lang w:eastAsia="en-GB"/>
        </w:rPr>
        <w:lastRenderedPageBreak/>
        <w:t>that clear prescriptive conditions to limit, reduce and avoid emissions and health impacts should be applied to the FMP’s approval.</w:t>
      </w:r>
    </w:p>
    <w:p w14:paraId="1EDFEA9E" w14:textId="77777777" w:rsidR="00E06EA7" w:rsidRDefault="00E06EA7" w:rsidP="00E06EA7">
      <w:pPr>
        <w:shd w:val="clear" w:color="auto" w:fill="FFFFFF"/>
        <w:spacing w:after="160" w:line="233" w:lineRule="atLeast"/>
        <w:ind w:left="360"/>
        <w:rPr>
          <w:rFonts w:eastAsia="Times New Roman" w:cstheme="minorHAnsi"/>
          <w:color w:val="222222"/>
          <w:sz w:val="23"/>
          <w:szCs w:val="23"/>
          <w:lang w:eastAsia="en-GB"/>
        </w:rPr>
      </w:pPr>
    </w:p>
    <w:p w14:paraId="7F420BB1" w14:textId="3073BA7D" w:rsidR="00591A36" w:rsidRPr="00591A36" w:rsidRDefault="008C719C" w:rsidP="00B86796">
      <w:pPr>
        <w:pStyle w:val="ListParagraph"/>
        <w:numPr>
          <w:ilvl w:val="0"/>
          <w:numId w:val="1"/>
        </w:numPr>
        <w:shd w:val="clear" w:color="auto" w:fill="FFFFFF"/>
        <w:ind w:left="360"/>
        <w:jc w:val="both"/>
        <w:rPr>
          <w:rFonts w:eastAsia="Times New Roman" w:cstheme="minorHAnsi"/>
          <w:color w:val="222222"/>
          <w:sz w:val="23"/>
          <w:szCs w:val="23"/>
          <w:lang w:eastAsia="en-GB"/>
        </w:rPr>
      </w:pPr>
      <w:r w:rsidRPr="00591A36">
        <w:rPr>
          <w:rFonts w:eastAsia="Times New Roman" w:cstheme="minorHAnsi"/>
          <w:b/>
          <w:bCs/>
          <w:color w:val="222222"/>
          <w:sz w:val="23"/>
          <w:szCs w:val="23"/>
          <w:lang w:eastAsia="en-GB"/>
        </w:rPr>
        <w:t>Inadequate assessment of</w:t>
      </w:r>
      <w:r w:rsidR="00591A36">
        <w:rPr>
          <w:rFonts w:eastAsia="Times New Roman" w:cstheme="minorHAnsi"/>
          <w:b/>
          <w:bCs/>
          <w:color w:val="222222"/>
          <w:sz w:val="23"/>
          <w:szCs w:val="23"/>
          <w:lang w:eastAsia="en-GB"/>
        </w:rPr>
        <w:t xml:space="preserve"> impacts related to identified factors </w:t>
      </w:r>
    </w:p>
    <w:p w14:paraId="62C61B8F" w14:textId="77777777" w:rsidR="00591A36" w:rsidRPr="00591A36" w:rsidRDefault="00591A36" w:rsidP="00591A36">
      <w:pPr>
        <w:shd w:val="clear" w:color="auto" w:fill="FFFFFF"/>
        <w:jc w:val="both"/>
        <w:rPr>
          <w:rFonts w:eastAsia="Times New Roman" w:cstheme="minorHAnsi"/>
          <w:color w:val="222222"/>
          <w:sz w:val="23"/>
          <w:szCs w:val="23"/>
          <w:lang w:eastAsia="en-GB"/>
        </w:rPr>
      </w:pPr>
    </w:p>
    <w:p w14:paraId="510B2EFD" w14:textId="6296F33E" w:rsidR="008C719C" w:rsidRDefault="00591A36" w:rsidP="008C719C">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The</w:t>
      </w:r>
      <w:r w:rsidR="008C719C" w:rsidRPr="008C719C">
        <w:rPr>
          <w:rFonts w:eastAsia="Times New Roman" w:cstheme="minorHAnsi"/>
          <w:color w:val="222222"/>
          <w:sz w:val="23"/>
          <w:szCs w:val="23"/>
          <w:lang w:eastAsia="en-GB"/>
        </w:rPr>
        <w:t xml:space="preserve"> </w:t>
      </w:r>
      <w:r>
        <w:rPr>
          <w:rFonts w:eastAsia="Times New Roman" w:cstheme="minorHAnsi"/>
          <w:color w:val="222222"/>
          <w:sz w:val="23"/>
          <w:szCs w:val="23"/>
          <w:lang w:eastAsia="en-GB"/>
        </w:rPr>
        <w:t xml:space="preserve">EPA did </w:t>
      </w:r>
      <w:r w:rsidR="008C719C" w:rsidRPr="008C719C">
        <w:rPr>
          <w:rFonts w:eastAsia="Times New Roman" w:cstheme="minorHAnsi"/>
          <w:color w:val="222222"/>
          <w:sz w:val="23"/>
          <w:szCs w:val="23"/>
          <w:lang w:eastAsia="en-GB"/>
        </w:rPr>
        <w:t>not require</w:t>
      </w:r>
      <w:r>
        <w:rPr>
          <w:rFonts w:eastAsia="Times New Roman" w:cstheme="minorHAnsi"/>
          <w:color w:val="222222"/>
          <w:sz w:val="23"/>
          <w:szCs w:val="23"/>
          <w:lang w:eastAsia="en-GB"/>
        </w:rPr>
        <w:t xml:space="preserve"> the proponent to provide</w:t>
      </w:r>
      <w:r w:rsidR="008C719C" w:rsidRPr="008C719C">
        <w:rPr>
          <w:rFonts w:eastAsia="Times New Roman" w:cstheme="minorHAnsi"/>
          <w:color w:val="222222"/>
          <w:sz w:val="23"/>
          <w:szCs w:val="23"/>
          <w:lang w:eastAsia="en-GB"/>
        </w:rPr>
        <w:t xml:space="preserve"> d</w:t>
      </w:r>
      <w:r>
        <w:rPr>
          <w:rFonts w:eastAsia="Times New Roman" w:cstheme="minorHAnsi"/>
          <w:color w:val="222222"/>
          <w:sz w:val="23"/>
          <w:szCs w:val="23"/>
          <w:lang w:eastAsia="en-GB"/>
        </w:rPr>
        <w:t>ata and information</w:t>
      </w:r>
      <w:r w:rsidR="003E2C64">
        <w:rPr>
          <w:rFonts w:eastAsia="Times New Roman" w:cstheme="minorHAnsi"/>
          <w:color w:val="222222"/>
          <w:sz w:val="23"/>
          <w:szCs w:val="23"/>
          <w:lang w:eastAsia="en-GB"/>
        </w:rPr>
        <w:t xml:space="preserve"> regarding impacts on flora, fauna, inland waters or social surroundings, instead taking a very superficial process-based assessment approach. </w:t>
      </w:r>
    </w:p>
    <w:p w14:paraId="53FE7FE4" w14:textId="657D3D05" w:rsidR="003E2C64" w:rsidRDefault="003E2C64" w:rsidP="008C719C">
      <w:pPr>
        <w:shd w:val="clear" w:color="auto" w:fill="FFFFFF"/>
        <w:rPr>
          <w:rFonts w:eastAsia="Times New Roman" w:cstheme="minorHAnsi"/>
          <w:color w:val="222222"/>
          <w:sz w:val="23"/>
          <w:szCs w:val="23"/>
          <w:lang w:eastAsia="en-GB"/>
        </w:rPr>
      </w:pPr>
    </w:p>
    <w:p w14:paraId="3C0F61E3" w14:textId="035BA9C3" w:rsidR="003E2C64" w:rsidRDefault="003E2C64" w:rsidP="003E2C64">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 xml:space="preserve">WAFA submitted detailed evidence of the impacts of prescribed burning on flora and vegetation, fauna and inland waters, and we are aware of other substantive submissions that the EPA received. However, the EPA has carried out what seems to be an irregular assessment approach, not considering the quantifiable, particular impacts related to each of the factors. As a result, the report lacks detail on impacts and measures to avoid, limit or mitigate them, and lacks clear, prescriptive recommended conditions to enforce those measures. </w:t>
      </w:r>
    </w:p>
    <w:p w14:paraId="6E8C5595" w14:textId="18BC3ABB" w:rsidR="00E118A7" w:rsidRDefault="00E118A7" w:rsidP="003E2C64">
      <w:pPr>
        <w:shd w:val="clear" w:color="auto" w:fill="FFFFFF"/>
        <w:rPr>
          <w:rFonts w:eastAsia="Times New Roman" w:cstheme="minorHAnsi"/>
          <w:color w:val="222222"/>
          <w:sz w:val="23"/>
          <w:szCs w:val="23"/>
          <w:lang w:eastAsia="en-GB"/>
        </w:rPr>
      </w:pPr>
    </w:p>
    <w:p w14:paraId="39B6F305" w14:textId="17AA7503" w:rsidR="008C719C" w:rsidRPr="00E118A7" w:rsidRDefault="008C719C" w:rsidP="003E2C64">
      <w:pPr>
        <w:pStyle w:val="ListParagraph"/>
        <w:numPr>
          <w:ilvl w:val="0"/>
          <w:numId w:val="1"/>
        </w:numPr>
        <w:shd w:val="clear" w:color="auto" w:fill="FFFFFF"/>
        <w:rPr>
          <w:rFonts w:eastAsia="Times New Roman" w:cstheme="minorHAnsi"/>
          <w:color w:val="222222"/>
          <w:sz w:val="23"/>
          <w:szCs w:val="23"/>
          <w:lang w:eastAsia="en-GB"/>
        </w:rPr>
      </w:pPr>
      <w:r w:rsidRPr="00E118A7">
        <w:rPr>
          <w:rFonts w:eastAsia="Times New Roman" w:cstheme="minorHAnsi"/>
          <w:b/>
          <w:bCs/>
          <w:color w:val="222222"/>
          <w:sz w:val="23"/>
          <w:szCs w:val="23"/>
          <w:lang w:eastAsia="en-GB"/>
        </w:rPr>
        <w:t>The EPA has</w:t>
      </w:r>
      <w:r w:rsidR="00E118A7" w:rsidRPr="00E118A7">
        <w:rPr>
          <w:rFonts w:eastAsia="Times New Roman" w:cstheme="minorHAnsi"/>
          <w:b/>
          <w:bCs/>
          <w:color w:val="222222"/>
          <w:sz w:val="23"/>
          <w:szCs w:val="23"/>
          <w:lang w:eastAsia="en-GB"/>
        </w:rPr>
        <w:t xml:space="preserve"> seemingly</w:t>
      </w:r>
      <w:r w:rsidRPr="00E118A7">
        <w:rPr>
          <w:rFonts w:eastAsia="Times New Roman" w:cstheme="minorHAnsi"/>
          <w:b/>
          <w:bCs/>
          <w:color w:val="222222"/>
          <w:sz w:val="23"/>
          <w:szCs w:val="23"/>
          <w:lang w:eastAsia="en-GB"/>
        </w:rPr>
        <w:t xml:space="preserve"> relied on other </w:t>
      </w:r>
      <w:r w:rsidR="00E118A7" w:rsidRPr="00E118A7">
        <w:rPr>
          <w:rFonts w:eastAsia="Times New Roman" w:cstheme="minorHAnsi"/>
          <w:b/>
          <w:bCs/>
          <w:color w:val="222222"/>
          <w:sz w:val="23"/>
          <w:szCs w:val="23"/>
          <w:lang w:eastAsia="en-GB"/>
        </w:rPr>
        <w:t xml:space="preserve">inadequate </w:t>
      </w:r>
      <w:r w:rsidRPr="00E118A7">
        <w:rPr>
          <w:rFonts w:eastAsia="Times New Roman" w:cstheme="minorHAnsi"/>
          <w:b/>
          <w:bCs/>
          <w:color w:val="222222"/>
          <w:sz w:val="23"/>
          <w:szCs w:val="23"/>
          <w:lang w:eastAsia="en-GB"/>
        </w:rPr>
        <w:t>Decision</w:t>
      </w:r>
      <w:r w:rsidR="00E118A7">
        <w:rPr>
          <w:rFonts w:eastAsia="Times New Roman" w:cstheme="minorHAnsi"/>
          <w:b/>
          <w:bCs/>
          <w:color w:val="222222"/>
          <w:sz w:val="23"/>
          <w:szCs w:val="23"/>
          <w:lang w:eastAsia="en-GB"/>
        </w:rPr>
        <w:t>-</w:t>
      </w:r>
      <w:r w:rsidRPr="00E118A7">
        <w:rPr>
          <w:rFonts w:eastAsia="Times New Roman" w:cstheme="minorHAnsi"/>
          <w:b/>
          <w:bCs/>
          <w:color w:val="222222"/>
          <w:sz w:val="23"/>
          <w:szCs w:val="23"/>
          <w:lang w:eastAsia="en-GB"/>
        </w:rPr>
        <w:t xml:space="preserve">Making Authorities </w:t>
      </w:r>
    </w:p>
    <w:p w14:paraId="646C0E80" w14:textId="77777777" w:rsidR="00E118A7" w:rsidRDefault="00E118A7" w:rsidP="008C719C">
      <w:pPr>
        <w:shd w:val="clear" w:color="auto" w:fill="FFFFFF"/>
        <w:rPr>
          <w:rFonts w:eastAsia="Times New Roman" w:cstheme="minorHAnsi"/>
          <w:color w:val="222222"/>
          <w:sz w:val="23"/>
          <w:szCs w:val="23"/>
          <w:lang w:eastAsia="en-GB"/>
        </w:rPr>
      </w:pPr>
    </w:p>
    <w:p w14:paraId="4D81367C" w14:textId="1DE4FDD1" w:rsidR="00E118A7" w:rsidRPr="00BD7E6F" w:rsidRDefault="00E118A7" w:rsidP="00BD7E6F">
      <w:pPr>
        <w:shd w:val="clear" w:color="auto" w:fill="FFFFFF"/>
        <w:spacing w:line="276" w:lineRule="auto"/>
        <w:rPr>
          <w:rFonts w:eastAsia="Times New Roman" w:cstheme="minorHAnsi"/>
          <w:color w:val="222222"/>
          <w:sz w:val="23"/>
          <w:szCs w:val="23"/>
          <w:lang w:eastAsia="en-GB"/>
        </w:rPr>
      </w:pPr>
      <w:r w:rsidRPr="00BD7E6F">
        <w:rPr>
          <w:rFonts w:eastAsia="Times New Roman" w:cstheme="minorHAnsi"/>
          <w:color w:val="222222"/>
          <w:sz w:val="23"/>
          <w:szCs w:val="23"/>
          <w:lang w:eastAsia="en-GB"/>
        </w:rPr>
        <w:t>T</w:t>
      </w:r>
      <w:r w:rsidR="008C719C" w:rsidRPr="008C719C">
        <w:rPr>
          <w:rFonts w:eastAsia="Times New Roman" w:cstheme="minorHAnsi"/>
          <w:color w:val="222222"/>
          <w:sz w:val="23"/>
          <w:szCs w:val="23"/>
          <w:lang w:eastAsia="en-GB"/>
        </w:rPr>
        <w:t>he EPA appears to have inappropriately relied on other Decision</w:t>
      </w:r>
      <w:r w:rsidRPr="00BD7E6F">
        <w:rPr>
          <w:rFonts w:eastAsia="Times New Roman" w:cstheme="minorHAnsi"/>
          <w:color w:val="222222"/>
          <w:sz w:val="23"/>
          <w:szCs w:val="23"/>
          <w:lang w:eastAsia="en-GB"/>
        </w:rPr>
        <w:t>-</w:t>
      </w:r>
      <w:r w:rsidR="008C719C" w:rsidRPr="008C719C">
        <w:rPr>
          <w:rFonts w:eastAsia="Times New Roman" w:cstheme="minorHAnsi"/>
          <w:color w:val="222222"/>
          <w:sz w:val="23"/>
          <w:szCs w:val="23"/>
          <w:lang w:eastAsia="en-GB"/>
        </w:rPr>
        <w:t xml:space="preserve">Making Authorities </w:t>
      </w:r>
      <w:r w:rsidRPr="00BD7E6F">
        <w:rPr>
          <w:rFonts w:eastAsia="Times New Roman" w:cstheme="minorHAnsi"/>
          <w:color w:val="222222"/>
          <w:sz w:val="23"/>
          <w:szCs w:val="23"/>
          <w:lang w:eastAsia="en-GB"/>
        </w:rPr>
        <w:t xml:space="preserve">and a very broadly applied, unenforceable and discretionary adaptive management </w:t>
      </w:r>
      <w:r w:rsidR="000B157A" w:rsidRPr="00BD7E6F">
        <w:rPr>
          <w:rFonts w:eastAsia="Times New Roman" w:cstheme="minorHAnsi"/>
          <w:color w:val="222222"/>
          <w:sz w:val="23"/>
          <w:szCs w:val="23"/>
          <w:lang w:eastAsia="en-GB"/>
        </w:rPr>
        <w:t xml:space="preserve">approach </w:t>
      </w:r>
      <w:r w:rsidR="008C719C" w:rsidRPr="008C719C">
        <w:rPr>
          <w:rFonts w:eastAsia="Times New Roman" w:cstheme="minorHAnsi"/>
          <w:color w:val="222222"/>
          <w:sz w:val="23"/>
          <w:szCs w:val="23"/>
          <w:lang w:eastAsia="en-GB"/>
        </w:rPr>
        <w:t>to meet its environmental objectives for the FMP</w:t>
      </w:r>
      <w:r w:rsidRPr="00BD7E6F">
        <w:rPr>
          <w:rFonts w:eastAsia="Times New Roman" w:cstheme="minorHAnsi"/>
          <w:color w:val="222222"/>
          <w:sz w:val="23"/>
          <w:szCs w:val="23"/>
          <w:lang w:eastAsia="en-GB"/>
        </w:rPr>
        <w:t xml:space="preserve">. </w:t>
      </w:r>
    </w:p>
    <w:p w14:paraId="3CC0A2F4" w14:textId="453832DF" w:rsidR="00F83D96" w:rsidRPr="00BD7E6F" w:rsidRDefault="00F83D96" w:rsidP="00BD7E6F">
      <w:pPr>
        <w:shd w:val="clear" w:color="auto" w:fill="FFFFFF"/>
        <w:spacing w:line="276" w:lineRule="auto"/>
        <w:rPr>
          <w:rFonts w:eastAsia="Times New Roman" w:cstheme="minorHAnsi"/>
          <w:color w:val="222222"/>
          <w:sz w:val="23"/>
          <w:szCs w:val="23"/>
          <w:lang w:eastAsia="en-GB"/>
        </w:rPr>
      </w:pPr>
    </w:p>
    <w:p w14:paraId="180472C0" w14:textId="212383D1" w:rsidR="00F83D96" w:rsidRPr="00BD7E6F" w:rsidRDefault="000B157A" w:rsidP="00BD7E6F">
      <w:pPr>
        <w:shd w:val="clear" w:color="auto" w:fill="FFFFFF"/>
        <w:spacing w:line="276" w:lineRule="auto"/>
        <w:rPr>
          <w:rFonts w:eastAsia="Times New Roman" w:cstheme="minorHAnsi"/>
          <w:color w:val="222222"/>
          <w:sz w:val="23"/>
          <w:szCs w:val="23"/>
          <w:lang w:eastAsia="en-GB"/>
        </w:rPr>
      </w:pPr>
      <w:r w:rsidRPr="00BD7E6F">
        <w:rPr>
          <w:rFonts w:eastAsia="Times New Roman" w:cstheme="minorHAnsi"/>
          <w:color w:val="222222"/>
          <w:sz w:val="23"/>
          <w:szCs w:val="23"/>
          <w:lang w:eastAsia="en-GB"/>
        </w:rPr>
        <w:t>While WAFA strongly supports the EPA’s recommendation</w:t>
      </w:r>
      <w:r w:rsidRPr="00BD7E6F">
        <w:rPr>
          <w:rFonts w:eastAsia="Times New Roman" w:cstheme="minorHAnsi"/>
          <w:i/>
          <w:iCs/>
          <w:color w:val="222222"/>
          <w:sz w:val="23"/>
          <w:szCs w:val="23"/>
          <w:lang w:eastAsia="en-GB"/>
        </w:rPr>
        <w:t xml:space="preserve"> </w:t>
      </w:r>
      <w:r w:rsidRPr="00BD7E6F">
        <w:rPr>
          <w:rFonts w:eastAsia="Times New Roman" w:cstheme="minorHAnsi"/>
          <w:color w:val="222222"/>
          <w:sz w:val="23"/>
          <w:szCs w:val="23"/>
          <w:lang w:eastAsia="en-GB"/>
        </w:rPr>
        <w:t xml:space="preserve">for an inquiry into prescribed burning, passing on the recommendation under Other Advice does not offer any certainty that such an inquiry will be conducted or that the provisions of the EP Act or its objectives will be met. </w:t>
      </w:r>
      <w:r w:rsidRPr="00BD7E6F">
        <w:rPr>
          <w:rFonts w:eastAsia="Times New Roman" w:cstheme="minorHAnsi"/>
          <w:color w:val="222222"/>
          <w:sz w:val="23"/>
          <w:szCs w:val="23"/>
          <w:lang w:eastAsia="en-GB"/>
        </w:rPr>
        <w:br/>
      </w:r>
    </w:p>
    <w:p w14:paraId="0F5C01DF" w14:textId="35BE1094" w:rsidR="00BD7E6F" w:rsidRPr="00BD7E6F" w:rsidRDefault="000B157A" w:rsidP="00BD7E6F">
      <w:pPr>
        <w:shd w:val="clear" w:color="auto" w:fill="FFFFFF"/>
        <w:spacing w:line="276" w:lineRule="auto"/>
        <w:rPr>
          <w:rFonts w:eastAsia="Times New Roman" w:cstheme="minorHAnsi"/>
          <w:color w:val="222222"/>
          <w:sz w:val="23"/>
          <w:szCs w:val="23"/>
          <w:lang w:eastAsia="en-GB"/>
        </w:rPr>
      </w:pPr>
      <w:r w:rsidRPr="00BD7E6F">
        <w:rPr>
          <w:rFonts w:eastAsia="Times New Roman" w:cstheme="minorHAnsi"/>
          <w:color w:val="222222"/>
          <w:sz w:val="23"/>
          <w:szCs w:val="23"/>
          <w:lang w:eastAsia="en-GB"/>
        </w:rPr>
        <w:t>It was expected that the EPA would assess the impacts of the management activities in the Proposed FMP itself, according to the powers and responsibilities of the Authority</w:t>
      </w:r>
      <w:r w:rsidR="003A68F0" w:rsidRPr="00BD7E6F">
        <w:rPr>
          <w:rFonts w:eastAsia="Times New Roman" w:cstheme="minorHAnsi"/>
          <w:color w:val="222222"/>
          <w:sz w:val="23"/>
          <w:szCs w:val="23"/>
          <w:lang w:eastAsia="en-GB"/>
        </w:rPr>
        <w:t>,</w:t>
      </w:r>
      <w:r w:rsidRPr="00BD7E6F">
        <w:rPr>
          <w:rFonts w:eastAsia="Times New Roman" w:cstheme="minorHAnsi"/>
          <w:color w:val="222222"/>
          <w:sz w:val="23"/>
          <w:szCs w:val="23"/>
          <w:lang w:eastAsia="en-GB"/>
        </w:rPr>
        <w:t xml:space="preserve"> and make the necessary recommendations for enforceable conditions to the Minister to ensure appropriate limits and protections are in place and enforceable. </w:t>
      </w:r>
      <w:r w:rsidRPr="00BD7E6F">
        <w:rPr>
          <w:rFonts w:eastAsia="Times New Roman" w:cstheme="minorHAnsi"/>
          <w:color w:val="222222"/>
          <w:sz w:val="23"/>
          <w:szCs w:val="23"/>
          <w:lang w:eastAsia="en-GB"/>
        </w:rPr>
        <w:br/>
      </w:r>
      <w:r w:rsidRPr="00BD7E6F">
        <w:rPr>
          <w:rFonts w:eastAsia="Times New Roman" w:cstheme="minorHAnsi"/>
          <w:color w:val="222222"/>
          <w:sz w:val="23"/>
          <w:szCs w:val="23"/>
          <w:lang w:eastAsia="en-GB"/>
        </w:rPr>
        <w:br/>
        <w:t>Instead,</w:t>
      </w:r>
      <w:r w:rsidR="00BD7E6F" w:rsidRPr="00BD7E6F">
        <w:rPr>
          <w:rFonts w:eastAsia="Times New Roman" w:cstheme="minorHAnsi"/>
          <w:color w:val="222222"/>
          <w:sz w:val="23"/>
          <w:szCs w:val="23"/>
          <w:lang w:eastAsia="en-GB"/>
        </w:rPr>
        <w:t xml:space="preserve"> on both prescribed and thinning,</w:t>
      </w:r>
      <w:r w:rsidRPr="00BD7E6F">
        <w:rPr>
          <w:rFonts w:eastAsia="Times New Roman" w:cstheme="minorHAnsi"/>
          <w:color w:val="222222"/>
          <w:sz w:val="23"/>
          <w:szCs w:val="23"/>
          <w:lang w:eastAsia="en-GB"/>
        </w:rPr>
        <w:t xml:space="preserve"> the EPA has left assessments </w:t>
      </w:r>
      <w:r w:rsidR="00BD7E6F" w:rsidRPr="00BD7E6F">
        <w:rPr>
          <w:rFonts w:eastAsia="Times New Roman" w:cstheme="minorHAnsi"/>
          <w:color w:val="222222"/>
          <w:sz w:val="23"/>
          <w:szCs w:val="23"/>
          <w:lang w:eastAsia="en-GB"/>
        </w:rPr>
        <w:t>and precise content of the outcomes to be achieved to</w:t>
      </w:r>
      <w:r w:rsidRPr="00BD7E6F">
        <w:rPr>
          <w:rFonts w:eastAsia="Times New Roman" w:cstheme="minorHAnsi"/>
          <w:color w:val="222222"/>
          <w:sz w:val="23"/>
          <w:szCs w:val="23"/>
          <w:lang w:eastAsia="en-GB"/>
        </w:rPr>
        <w:t xml:space="preserve"> the discretion of the proponent and government, without </w:t>
      </w:r>
      <w:r w:rsidR="003A68F0" w:rsidRPr="00BD7E6F">
        <w:rPr>
          <w:rFonts w:eastAsia="Times New Roman" w:cstheme="minorHAnsi"/>
          <w:color w:val="222222"/>
          <w:sz w:val="23"/>
          <w:szCs w:val="23"/>
          <w:lang w:eastAsia="en-GB"/>
        </w:rPr>
        <w:t xml:space="preserve">providing </w:t>
      </w:r>
      <w:r w:rsidRPr="00BD7E6F">
        <w:rPr>
          <w:rFonts w:eastAsia="Times New Roman" w:cstheme="minorHAnsi"/>
          <w:color w:val="222222"/>
          <w:sz w:val="23"/>
          <w:szCs w:val="23"/>
          <w:lang w:eastAsia="en-GB"/>
        </w:rPr>
        <w:t xml:space="preserve">an explanation of any assessment it may have undertaken regarding the adequacy of other Decision-Making Authorities and processes to meet the EPA’s objectives. </w:t>
      </w:r>
      <w:r w:rsidR="00BD7E6F" w:rsidRPr="00BD7E6F">
        <w:rPr>
          <w:rFonts w:eastAsia="Times New Roman" w:cstheme="minorHAnsi"/>
          <w:color w:val="222222"/>
          <w:sz w:val="23"/>
          <w:szCs w:val="23"/>
          <w:lang w:eastAsia="en-GB"/>
        </w:rPr>
        <w:t xml:space="preserve">This </w:t>
      </w:r>
      <w:r w:rsidR="00BD7E6F" w:rsidRPr="00BD7E6F">
        <w:rPr>
          <w:rFonts w:ascii="Calibri" w:eastAsia="Times New Roman" w:hAnsi="Calibri" w:cs="Calibri"/>
          <w:color w:val="000000"/>
          <w:sz w:val="23"/>
          <w:szCs w:val="23"/>
          <w:shd w:val="clear" w:color="auto" w:fill="FFFFFF"/>
          <w:lang w:eastAsia="en-GB"/>
        </w:rPr>
        <w:t xml:space="preserve">approach perpetuates an on-going </w:t>
      </w:r>
      <w:r w:rsidR="00BD7E6F" w:rsidRPr="00BD7E6F">
        <w:rPr>
          <w:rFonts w:ascii="Calibri" w:eastAsia="Times New Roman" w:hAnsi="Calibri" w:cs="Calibri"/>
          <w:color w:val="000000"/>
          <w:sz w:val="23"/>
          <w:szCs w:val="23"/>
          <w:shd w:val="clear" w:color="auto" w:fill="FFFFFF"/>
          <w:lang w:eastAsia="en-GB"/>
        </w:rPr>
        <w:t xml:space="preserve">problem with the </w:t>
      </w:r>
      <w:r w:rsidR="00BD7E6F" w:rsidRPr="00BD7E6F">
        <w:rPr>
          <w:rFonts w:ascii="Calibri" w:eastAsia="Times New Roman" w:hAnsi="Calibri" w:cs="Calibri"/>
          <w:color w:val="000000"/>
          <w:sz w:val="23"/>
          <w:szCs w:val="23"/>
          <w:shd w:val="clear" w:color="auto" w:fill="FFFFFF"/>
          <w:lang w:eastAsia="en-GB"/>
        </w:rPr>
        <w:t>weakness of CALM Act management plans – which is that DBCA (and its predecessors) deliberately leave the commitments or requirements (</w:t>
      </w:r>
      <w:proofErr w:type="spellStart"/>
      <w:r w:rsidR="00BD7E6F" w:rsidRPr="00BD7E6F">
        <w:rPr>
          <w:rFonts w:ascii="Calibri" w:eastAsia="Times New Roman" w:hAnsi="Calibri" w:cs="Calibri"/>
          <w:color w:val="000000"/>
          <w:sz w:val="23"/>
          <w:szCs w:val="23"/>
          <w:shd w:val="clear" w:color="auto" w:fill="FFFFFF"/>
          <w:lang w:eastAsia="en-GB"/>
        </w:rPr>
        <w:t>eg</w:t>
      </w:r>
      <w:proofErr w:type="spellEnd"/>
      <w:r w:rsidR="00BD7E6F" w:rsidRPr="00BD7E6F">
        <w:rPr>
          <w:rFonts w:ascii="Calibri" w:eastAsia="Times New Roman" w:hAnsi="Calibri" w:cs="Calibri"/>
          <w:color w:val="000000"/>
          <w:sz w:val="23"/>
          <w:szCs w:val="23"/>
          <w:shd w:val="clear" w:color="auto" w:fill="FFFFFF"/>
          <w:lang w:eastAsia="en-GB"/>
        </w:rPr>
        <w:t xml:space="preserve"> performance criteria) vague and aspirational – because substantively all the CALM requires is that DBCA manage the land “in accordance with” the management plan.</w:t>
      </w:r>
      <w:r w:rsidR="00BD7E6F" w:rsidRPr="00BD7E6F">
        <w:rPr>
          <w:rFonts w:ascii="Calibri" w:eastAsia="Times New Roman" w:hAnsi="Calibri" w:cs="Calibri"/>
          <w:color w:val="000000"/>
          <w:sz w:val="23"/>
          <w:szCs w:val="23"/>
          <w:shd w:val="clear" w:color="auto" w:fill="FFFFFF"/>
          <w:lang w:eastAsia="en-GB"/>
        </w:rPr>
        <w:t xml:space="preserve"> This makes the role of the EPA all the important, and the abdication of the responsibility all the more problematic. </w:t>
      </w:r>
    </w:p>
    <w:p w14:paraId="7443E358" w14:textId="185BF3CB" w:rsidR="003A68F0" w:rsidRPr="00BD7E6F" w:rsidRDefault="000B157A" w:rsidP="00BD7E6F">
      <w:pPr>
        <w:shd w:val="clear" w:color="auto" w:fill="FFFFFF"/>
        <w:spacing w:line="276" w:lineRule="auto"/>
        <w:rPr>
          <w:rFonts w:eastAsia="Times New Roman" w:cstheme="minorHAnsi"/>
          <w:color w:val="222222"/>
          <w:sz w:val="23"/>
          <w:szCs w:val="23"/>
          <w:lang w:eastAsia="en-GB"/>
        </w:rPr>
      </w:pPr>
      <w:r w:rsidRPr="00BD7E6F">
        <w:rPr>
          <w:rFonts w:eastAsia="Times New Roman" w:cstheme="minorHAnsi"/>
          <w:color w:val="222222"/>
          <w:sz w:val="23"/>
          <w:szCs w:val="23"/>
          <w:lang w:eastAsia="en-GB"/>
        </w:rPr>
        <w:br/>
      </w:r>
      <w:r w:rsidR="003A68F0" w:rsidRPr="00BD7E6F">
        <w:rPr>
          <w:rFonts w:eastAsia="Times New Roman" w:cstheme="minorHAnsi"/>
          <w:color w:val="222222"/>
          <w:sz w:val="23"/>
          <w:szCs w:val="23"/>
          <w:lang w:eastAsia="en-GB"/>
        </w:rPr>
        <w:t xml:space="preserve">During the development of the Draft and Proposed FMPs, </w:t>
      </w:r>
      <w:r w:rsidRPr="00BD7E6F">
        <w:rPr>
          <w:rFonts w:eastAsia="Times New Roman" w:cstheme="minorHAnsi"/>
          <w:color w:val="222222"/>
          <w:sz w:val="23"/>
          <w:szCs w:val="23"/>
          <w:lang w:eastAsia="en-GB"/>
        </w:rPr>
        <w:t xml:space="preserve">DBCA and the CPC </w:t>
      </w:r>
      <w:r w:rsidR="003A68F0" w:rsidRPr="00BD7E6F">
        <w:rPr>
          <w:rFonts w:eastAsia="Times New Roman" w:cstheme="minorHAnsi"/>
          <w:color w:val="222222"/>
          <w:sz w:val="23"/>
          <w:szCs w:val="23"/>
          <w:lang w:eastAsia="en-GB"/>
        </w:rPr>
        <w:t>did</w:t>
      </w:r>
      <w:r w:rsidRPr="00BD7E6F">
        <w:rPr>
          <w:rFonts w:eastAsia="Times New Roman" w:cstheme="minorHAnsi"/>
          <w:color w:val="222222"/>
          <w:sz w:val="23"/>
          <w:szCs w:val="23"/>
          <w:lang w:eastAsia="en-GB"/>
        </w:rPr>
        <w:t xml:space="preserve"> not assess the GHG emissions, air quality or human health factors</w:t>
      </w:r>
      <w:r w:rsidR="003A68F0" w:rsidRPr="00BD7E6F">
        <w:rPr>
          <w:rFonts w:eastAsia="Times New Roman" w:cstheme="minorHAnsi"/>
          <w:color w:val="222222"/>
          <w:sz w:val="23"/>
          <w:szCs w:val="23"/>
          <w:lang w:eastAsia="en-GB"/>
        </w:rPr>
        <w:t xml:space="preserve"> associated with the plan.</w:t>
      </w:r>
      <w:r w:rsidRPr="00BD7E6F">
        <w:rPr>
          <w:rFonts w:eastAsia="Times New Roman" w:cstheme="minorHAnsi"/>
          <w:color w:val="222222"/>
          <w:sz w:val="23"/>
          <w:szCs w:val="23"/>
          <w:lang w:eastAsia="en-GB"/>
        </w:rPr>
        <w:t xml:space="preserve"> </w:t>
      </w:r>
      <w:r w:rsidR="003A68F0" w:rsidRPr="00BD7E6F">
        <w:rPr>
          <w:rFonts w:eastAsia="Times New Roman" w:cstheme="minorHAnsi"/>
          <w:color w:val="222222"/>
          <w:sz w:val="23"/>
          <w:szCs w:val="23"/>
          <w:lang w:eastAsia="en-GB"/>
        </w:rPr>
        <w:t>I</w:t>
      </w:r>
      <w:r w:rsidRPr="00BD7E6F">
        <w:rPr>
          <w:rFonts w:eastAsia="Times New Roman" w:cstheme="minorHAnsi"/>
          <w:color w:val="222222"/>
          <w:sz w:val="23"/>
          <w:szCs w:val="23"/>
          <w:lang w:eastAsia="en-GB"/>
        </w:rPr>
        <w:t xml:space="preserve">t is within the scope of the EPA to conduct these assessments, but </w:t>
      </w:r>
      <w:r w:rsidR="003A68F0" w:rsidRPr="00BD7E6F">
        <w:rPr>
          <w:rFonts w:eastAsia="Times New Roman" w:cstheme="minorHAnsi"/>
          <w:color w:val="222222"/>
          <w:sz w:val="23"/>
          <w:szCs w:val="23"/>
          <w:lang w:eastAsia="en-GB"/>
        </w:rPr>
        <w:t>the Authority</w:t>
      </w:r>
      <w:r w:rsidRPr="00BD7E6F">
        <w:rPr>
          <w:rFonts w:eastAsia="Times New Roman" w:cstheme="minorHAnsi"/>
          <w:color w:val="222222"/>
          <w:sz w:val="23"/>
          <w:szCs w:val="23"/>
          <w:lang w:eastAsia="en-GB"/>
        </w:rPr>
        <w:t xml:space="preserve"> has not conducted any substantive assessment of these major issues</w:t>
      </w:r>
      <w:r w:rsidR="003A68F0" w:rsidRPr="00BD7E6F">
        <w:rPr>
          <w:rFonts w:eastAsia="Times New Roman" w:cstheme="minorHAnsi"/>
          <w:color w:val="222222"/>
          <w:sz w:val="23"/>
          <w:szCs w:val="23"/>
          <w:lang w:eastAsia="en-GB"/>
        </w:rPr>
        <w:t>,</w:t>
      </w:r>
      <w:r w:rsidRPr="00BD7E6F">
        <w:rPr>
          <w:rFonts w:eastAsia="Times New Roman" w:cstheme="minorHAnsi"/>
          <w:color w:val="222222"/>
          <w:sz w:val="23"/>
          <w:szCs w:val="23"/>
          <w:lang w:eastAsia="en-GB"/>
        </w:rPr>
        <w:t xml:space="preserve"> and instead passed it on for possible</w:t>
      </w:r>
      <w:r w:rsidR="003A68F0" w:rsidRPr="00BD7E6F">
        <w:rPr>
          <w:rFonts w:eastAsia="Times New Roman" w:cstheme="minorHAnsi"/>
          <w:color w:val="222222"/>
          <w:sz w:val="23"/>
          <w:szCs w:val="23"/>
          <w:lang w:eastAsia="en-GB"/>
        </w:rPr>
        <w:t>, yet uncertain and untied</w:t>
      </w:r>
      <w:r w:rsidRPr="00BD7E6F">
        <w:rPr>
          <w:rFonts w:eastAsia="Times New Roman" w:cstheme="minorHAnsi"/>
          <w:color w:val="222222"/>
          <w:sz w:val="23"/>
          <w:szCs w:val="23"/>
          <w:lang w:eastAsia="en-GB"/>
        </w:rPr>
        <w:t xml:space="preserve"> interrogation at the discretion of government. </w:t>
      </w:r>
      <w:r w:rsidR="00BD7E6F">
        <w:rPr>
          <w:rFonts w:eastAsia="Times New Roman" w:cstheme="minorHAnsi"/>
          <w:color w:val="222222"/>
          <w:sz w:val="23"/>
          <w:szCs w:val="23"/>
          <w:lang w:eastAsia="en-GB"/>
        </w:rPr>
        <w:br/>
      </w:r>
      <w:r w:rsidR="00BD7E6F">
        <w:rPr>
          <w:rFonts w:eastAsia="Times New Roman" w:cstheme="minorHAnsi"/>
          <w:color w:val="222222"/>
          <w:sz w:val="23"/>
          <w:szCs w:val="23"/>
          <w:lang w:eastAsia="en-GB"/>
        </w:rPr>
        <w:br/>
        <w:t xml:space="preserve">Similarly, DBCA and the CPC have not provided detailed prescriptions, objectives or outcomes for the </w:t>
      </w:r>
      <w:r w:rsidR="00BD7E6F">
        <w:rPr>
          <w:rFonts w:eastAsia="Times New Roman" w:cstheme="minorHAnsi"/>
          <w:color w:val="222222"/>
          <w:sz w:val="23"/>
          <w:szCs w:val="23"/>
          <w:lang w:eastAsia="en-GB"/>
        </w:rPr>
        <w:lastRenderedPageBreak/>
        <w:t xml:space="preserve">proposed thinning program, leaving the plan very vague and aspirational and providing little to no </w:t>
      </w:r>
      <w:r w:rsidR="008E633E">
        <w:rPr>
          <w:rFonts w:eastAsia="Times New Roman" w:cstheme="minorHAnsi"/>
          <w:color w:val="222222"/>
          <w:sz w:val="23"/>
          <w:szCs w:val="23"/>
          <w:lang w:eastAsia="en-GB"/>
        </w:rPr>
        <w:t xml:space="preserve"> </w:t>
      </w:r>
      <w:r w:rsidR="00BD7E6F">
        <w:rPr>
          <w:rFonts w:eastAsia="Times New Roman" w:cstheme="minorHAnsi"/>
          <w:color w:val="222222"/>
          <w:sz w:val="23"/>
          <w:szCs w:val="23"/>
          <w:lang w:eastAsia="en-GB"/>
        </w:rPr>
        <w:t xml:space="preserve">detail or certainty, and the EPA has not used its powers and responsibilities to assess likely impacts and set out prescriptive conditions. </w:t>
      </w:r>
    </w:p>
    <w:p w14:paraId="17FAA9F8" w14:textId="77777777" w:rsidR="003A68F0" w:rsidRPr="00BD7E6F" w:rsidRDefault="003A68F0" w:rsidP="00BD7E6F">
      <w:pPr>
        <w:shd w:val="clear" w:color="auto" w:fill="FFFFFF"/>
        <w:spacing w:line="276" w:lineRule="auto"/>
        <w:rPr>
          <w:rFonts w:eastAsia="Times New Roman" w:cstheme="minorHAnsi"/>
          <w:color w:val="222222"/>
          <w:sz w:val="23"/>
          <w:szCs w:val="23"/>
          <w:lang w:eastAsia="en-GB"/>
        </w:rPr>
      </w:pPr>
    </w:p>
    <w:p w14:paraId="1FC7A203" w14:textId="6B758EF8" w:rsidR="008C719C" w:rsidRPr="008C719C" w:rsidRDefault="008C719C" w:rsidP="008C719C">
      <w:pPr>
        <w:shd w:val="clear" w:color="auto" w:fill="FFFFFF"/>
        <w:rPr>
          <w:rFonts w:eastAsia="Times New Roman" w:cstheme="minorHAnsi"/>
          <w:color w:val="222222"/>
          <w:sz w:val="23"/>
          <w:szCs w:val="23"/>
          <w:lang w:eastAsia="en-GB"/>
        </w:rPr>
      </w:pPr>
      <w:r w:rsidRPr="008C719C">
        <w:rPr>
          <w:rFonts w:eastAsia="Times New Roman" w:cstheme="minorHAnsi"/>
          <w:color w:val="222222"/>
          <w:sz w:val="23"/>
          <w:szCs w:val="23"/>
          <w:lang w:eastAsia="en-GB"/>
        </w:rPr>
        <w:t> </w:t>
      </w:r>
    </w:p>
    <w:p w14:paraId="489F0CA1" w14:textId="7C7BEAAD" w:rsidR="008C719C" w:rsidRPr="003A68F0" w:rsidRDefault="008C719C" w:rsidP="003A68F0">
      <w:pPr>
        <w:pStyle w:val="ListParagraph"/>
        <w:numPr>
          <w:ilvl w:val="0"/>
          <w:numId w:val="1"/>
        </w:numPr>
        <w:shd w:val="clear" w:color="auto" w:fill="FFFFFF"/>
        <w:spacing w:after="160" w:line="233" w:lineRule="atLeast"/>
        <w:rPr>
          <w:rFonts w:eastAsia="Times New Roman" w:cstheme="minorHAnsi"/>
          <w:color w:val="222222"/>
          <w:sz w:val="23"/>
          <w:szCs w:val="23"/>
          <w:lang w:eastAsia="en-GB"/>
        </w:rPr>
      </w:pPr>
      <w:r w:rsidRPr="003A68F0">
        <w:rPr>
          <w:rFonts w:eastAsia="Times New Roman" w:cstheme="minorHAnsi"/>
          <w:b/>
          <w:bCs/>
          <w:color w:val="222222"/>
          <w:sz w:val="23"/>
          <w:szCs w:val="23"/>
          <w:lang w:eastAsia="en-GB"/>
        </w:rPr>
        <w:t>The conditions recommended by the EPA are inadequate and do not satisfy the requirements of the Environmental Protection Act or the EPA’s Administrative Procedures</w:t>
      </w:r>
    </w:p>
    <w:p w14:paraId="38E6EA71" w14:textId="4AB5B592" w:rsidR="003A68F0" w:rsidRDefault="003A68F0" w:rsidP="003A68F0">
      <w:pPr>
        <w:shd w:val="clear" w:color="auto" w:fill="FFFFFF"/>
        <w:spacing w:after="160" w:line="233" w:lineRule="atLeast"/>
        <w:rPr>
          <w:rFonts w:eastAsia="Times New Roman" w:cstheme="minorHAnsi"/>
          <w:color w:val="222222"/>
          <w:sz w:val="23"/>
          <w:szCs w:val="23"/>
          <w:lang w:eastAsia="en-GB"/>
        </w:rPr>
      </w:pPr>
    </w:p>
    <w:p w14:paraId="3803798E" w14:textId="600BD02F" w:rsidR="003A68F0" w:rsidRDefault="003A68F0" w:rsidP="00D3588B">
      <w:pPr>
        <w:shd w:val="clear" w:color="auto" w:fill="FFFFFF"/>
        <w:spacing w:after="160" w:line="276" w:lineRule="auto"/>
        <w:rPr>
          <w:rFonts w:eastAsia="Times New Roman" w:cstheme="minorHAnsi"/>
          <w:color w:val="222222"/>
          <w:sz w:val="23"/>
          <w:szCs w:val="23"/>
          <w:lang w:eastAsia="en-GB"/>
        </w:rPr>
      </w:pPr>
      <w:r>
        <w:rPr>
          <w:rFonts w:eastAsia="Times New Roman" w:cstheme="minorHAnsi"/>
          <w:color w:val="222222"/>
          <w:sz w:val="23"/>
          <w:szCs w:val="23"/>
          <w:lang w:eastAsia="en-GB"/>
        </w:rPr>
        <w:t xml:space="preserve">The conditions recommended by the EPA are very broad and subjective, and cannot be relied on to provide the clarity, certainty or enforceability required. The FMP covers a range of management activities that have been sketched out in very general terms by the proponent, </w:t>
      </w:r>
      <w:r w:rsidR="00BD7E6F">
        <w:rPr>
          <w:rFonts w:eastAsia="Times New Roman" w:cstheme="minorHAnsi"/>
          <w:color w:val="222222"/>
          <w:sz w:val="23"/>
          <w:szCs w:val="23"/>
          <w:lang w:eastAsia="en-GB"/>
        </w:rPr>
        <w:t xml:space="preserve">but that have the potential to have serious and irreversible environmental, social and climate impacts. </w:t>
      </w:r>
      <w:r w:rsidR="00BD7E6F">
        <w:rPr>
          <w:rFonts w:eastAsia="Times New Roman" w:cstheme="minorHAnsi"/>
          <w:color w:val="222222"/>
          <w:sz w:val="23"/>
          <w:szCs w:val="23"/>
          <w:lang w:eastAsia="en-GB"/>
        </w:rPr>
        <w:br/>
        <w:t xml:space="preserve"> </w:t>
      </w:r>
      <w:r w:rsidR="00BD7E6F">
        <w:rPr>
          <w:rFonts w:eastAsia="Times New Roman" w:cstheme="minorHAnsi"/>
          <w:color w:val="222222"/>
          <w:sz w:val="23"/>
          <w:szCs w:val="23"/>
          <w:lang w:eastAsia="en-GB"/>
        </w:rPr>
        <w:br/>
        <w:t xml:space="preserve">Given the lack of objective facts regarding precise impacts both in the proposal and the EPA’s assessment report, approval of the proposal should have </w:t>
      </w:r>
      <w:r w:rsidR="00D3588B">
        <w:rPr>
          <w:rFonts w:eastAsia="Times New Roman" w:cstheme="minorHAnsi"/>
          <w:color w:val="222222"/>
          <w:sz w:val="23"/>
          <w:szCs w:val="23"/>
          <w:lang w:eastAsia="en-GB"/>
        </w:rPr>
        <w:t xml:space="preserve">only </w:t>
      </w:r>
      <w:r w:rsidR="00BD7E6F">
        <w:rPr>
          <w:rFonts w:eastAsia="Times New Roman" w:cstheme="minorHAnsi"/>
          <w:color w:val="222222"/>
          <w:sz w:val="23"/>
          <w:szCs w:val="23"/>
          <w:lang w:eastAsia="en-GB"/>
        </w:rPr>
        <w:t xml:space="preserve">been based on a suite of clear, prescriptive and enforceable conditions. This is the only way that the </w:t>
      </w:r>
      <w:r w:rsidR="00D3588B">
        <w:rPr>
          <w:rFonts w:eastAsia="Times New Roman" w:cstheme="minorHAnsi"/>
          <w:color w:val="222222"/>
          <w:sz w:val="23"/>
          <w:szCs w:val="23"/>
          <w:lang w:eastAsia="en-GB"/>
        </w:rPr>
        <w:t xml:space="preserve">proposal could have been reliably recommended for approval. WAFA submits that before any approval of the proposal is considered by the Minister, a far more substantive list of clear conditions for thinning, burning and development and gazettal of new National Parks and Nature Reserves be developed. </w:t>
      </w:r>
    </w:p>
    <w:p w14:paraId="596D21C7" w14:textId="77777777" w:rsidR="003A68F0" w:rsidRPr="003A68F0" w:rsidRDefault="003A68F0" w:rsidP="00BD7E6F">
      <w:pPr>
        <w:shd w:val="clear" w:color="auto" w:fill="FFFFFF"/>
        <w:spacing w:after="160" w:line="276" w:lineRule="auto"/>
        <w:rPr>
          <w:rFonts w:eastAsia="Times New Roman" w:cstheme="minorHAnsi"/>
          <w:color w:val="222222"/>
          <w:sz w:val="23"/>
          <w:szCs w:val="23"/>
          <w:lang w:eastAsia="en-GB"/>
        </w:rPr>
      </w:pPr>
    </w:p>
    <w:p w14:paraId="598EA41E" w14:textId="77777777" w:rsidR="008C719C" w:rsidRPr="008C719C" w:rsidRDefault="008C719C" w:rsidP="00BD7E6F">
      <w:pPr>
        <w:shd w:val="clear" w:color="auto" w:fill="FFFFFF"/>
        <w:spacing w:line="276" w:lineRule="auto"/>
        <w:ind w:left="720"/>
        <w:rPr>
          <w:rFonts w:eastAsia="Times New Roman" w:cstheme="minorHAnsi"/>
          <w:color w:val="222222"/>
          <w:sz w:val="23"/>
          <w:szCs w:val="23"/>
          <w:lang w:eastAsia="en-GB"/>
        </w:rPr>
      </w:pPr>
      <w:r w:rsidRPr="008C719C">
        <w:rPr>
          <w:rFonts w:eastAsia="Times New Roman" w:cstheme="minorHAnsi"/>
          <w:color w:val="222222"/>
          <w:sz w:val="23"/>
          <w:szCs w:val="23"/>
          <w:lang w:eastAsia="en-GB"/>
        </w:rPr>
        <w:t> </w:t>
      </w:r>
    </w:p>
    <w:p w14:paraId="067AD8E5" w14:textId="77777777" w:rsidR="00D3588B" w:rsidRDefault="00D3588B">
      <w:pPr>
        <w:rPr>
          <w:rFonts w:cstheme="minorHAnsi"/>
          <w:sz w:val="23"/>
          <w:szCs w:val="23"/>
        </w:rPr>
      </w:pPr>
      <w:r>
        <w:rPr>
          <w:rFonts w:cstheme="minorHAnsi"/>
          <w:sz w:val="23"/>
          <w:szCs w:val="23"/>
        </w:rPr>
        <w:t xml:space="preserve">Thank you for considering this appeal. </w:t>
      </w:r>
    </w:p>
    <w:p w14:paraId="32A1199D" w14:textId="67997DC5" w:rsidR="009F265A" w:rsidRDefault="00D3588B">
      <w:pPr>
        <w:rPr>
          <w:rFonts w:cstheme="minorHAnsi"/>
          <w:sz w:val="23"/>
          <w:szCs w:val="23"/>
        </w:rPr>
      </w:pPr>
      <w:r>
        <w:rPr>
          <w:rFonts w:cstheme="minorHAnsi"/>
          <w:sz w:val="23"/>
          <w:szCs w:val="23"/>
        </w:rPr>
        <w:br/>
      </w:r>
      <w:r>
        <w:rPr>
          <w:rFonts w:cstheme="minorHAnsi"/>
          <w:sz w:val="23"/>
          <w:szCs w:val="23"/>
        </w:rPr>
        <w:br/>
        <w:t xml:space="preserve">Yours sincerely, </w:t>
      </w:r>
    </w:p>
    <w:p w14:paraId="644BAE79" w14:textId="77777777" w:rsidR="00D3588B" w:rsidRDefault="00D3588B">
      <w:pPr>
        <w:rPr>
          <w:rFonts w:cstheme="minorHAnsi"/>
          <w:sz w:val="23"/>
          <w:szCs w:val="23"/>
        </w:rPr>
      </w:pPr>
    </w:p>
    <w:p w14:paraId="046CD8C9" w14:textId="77777777" w:rsidR="00D3588B" w:rsidRDefault="00D3588B">
      <w:pPr>
        <w:rPr>
          <w:rFonts w:cstheme="minorHAnsi"/>
          <w:sz w:val="23"/>
          <w:szCs w:val="23"/>
        </w:rPr>
      </w:pPr>
    </w:p>
    <w:p w14:paraId="2CE5BAAF" w14:textId="4671523D" w:rsidR="00D3588B" w:rsidRDefault="00D3588B">
      <w:pPr>
        <w:rPr>
          <w:rFonts w:cstheme="minorHAnsi"/>
          <w:sz w:val="23"/>
          <w:szCs w:val="23"/>
        </w:rPr>
      </w:pPr>
      <w:r>
        <w:rPr>
          <w:rFonts w:cstheme="minorHAnsi"/>
          <w:sz w:val="23"/>
          <w:szCs w:val="23"/>
        </w:rPr>
        <w:br/>
      </w:r>
      <w:r>
        <w:rPr>
          <w:rFonts w:cstheme="minorHAnsi"/>
          <w:sz w:val="23"/>
          <w:szCs w:val="23"/>
        </w:rPr>
        <w:br/>
        <w:t xml:space="preserve">Jess Beckerling </w:t>
      </w:r>
    </w:p>
    <w:p w14:paraId="324F5E4D" w14:textId="1CFF25D9" w:rsidR="009F265A" w:rsidRDefault="00D3588B">
      <w:pPr>
        <w:rPr>
          <w:rFonts w:cstheme="minorHAnsi"/>
          <w:sz w:val="23"/>
          <w:szCs w:val="23"/>
        </w:rPr>
      </w:pPr>
      <w:r>
        <w:rPr>
          <w:rFonts w:cstheme="minorHAnsi"/>
          <w:sz w:val="23"/>
          <w:szCs w:val="23"/>
        </w:rPr>
        <w:t xml:space="preserve">Director </w:t>
      </w:r>
      <w:r>
        <w:rPr>
          <w:rFonts w:cstheme="minorHAnsi"/>
          <w:sz w:val="23"/>
          <w:szCs w:val="23"/>
        </w:rPr>
        <w:br/>
        <w:t xml:space="preserve">WA Forest Alliance </w:t>
      </w:r>
      <w:r>
        <w:rPr>
          <w:rFonts w:cstheme="minorHAnsi"/>
          <w:sz w:val="23"/>
          <w:szCs w:val="23"/>
        </w:rPr>
        <w:br/>
      </w:r>
      <w:hyperlink r:id="rId6" w:history="1">
        <w:r w:rsidRPr="00FE3316">
          <w:rPr>
            <w:rStyle w:val="Hyperlink"/>
            <w:rFonts w:cstheme="minorHAnsi"/>
            <w:sz w:val="23"/>
            <w:szCs w:val="23"/>
          </w:rPr>
          <w:t>jessbeckerling@wafa.org.au</w:t>
        </w:r>
      </w:hyperlink>
    </w:p>
    <w:p w14:paraId="4D87126B" w14:textId="77777777" w:rsidR="00D3588B" w:rsidRDefault="00D3588B">
      <w:pPr>
        <w:rPr>
          <w:rFonts w:cstheme="minorHAnsi"/>
          <w:sz w:val="23"/>
          <w:szCs w:val="23"/>
        </w:rPr>
      </w:pPr>
    </w:p>
    <w:p w14:paraId="0DCBD965" w14:textId="605FAD6A" w:rsidR="009F265A" w:rsidRDefault="009F265A">
      <w:pPr>
        <w:rPr>
          <w:rFonts w:cstheme="minorHAnsi"/>
          <w:sz w:val="23"/>
          <w:szCs w:val="23"/>
        </w:rPr>
      </w:pPr>
    </w:p>
    <w:p w14:paraId="518C9E6A" w14:textId="77777777" w:rsidR="009F265A" w:rsidRDefault="009F265A">
      <w:pPr>
        <w:rPr>
          <w:rFonts w:cstheme="minorHAnsi"/>
          <w:sz w:val="23"/>
          <w:szCs w:val="23"/>
        </w:rPr>
      </w:pPr>
    </w:p>
    <w:p w14:paraId="61F6E2AA" w14:textId="77777777" w:rsidR="009F265A" w:rsidRDefault="009F265A" w:rsidP="009F265A">
      <w:pPr>
        <w:shd w:val="clear" w:color="auto" w:fill="FFFFFF"/>
        <w:rPr>
          <w:rFonts w:eastAsia="Times New Roman" w:cstheme="minorHAnsi"/>
          <w:color w:val="222222"/>
          <w:sz w:val="23"/>
          <w:szCs w:val="23"/>
          <w:lang w:eastAsia="en-GB"/>
        </w:rPr>
      </w:pPr>
      <w:r>
        <w:rPr>
          <w:rFonts w:eastAsia="Times New Roman" w:cstheme="minorHAnsi"/>
          <w:color w:val="222222"/>
          <w:sz w:val="23"/>
          <w:szCs w:val="23"/>
          <w:lang w:eastAsia="en-GB"/>
        </w:rPr>
        <w:t>21</w:t>
      </w:r>
      <w:r w:rsidRPr="003428B9">
        <w:rPr>
          <w:rFonts w:eastAsia="Times New Roman" w:cstheme="minorHAnsi"/>
          <w:color w:val="222222"/>
          <w:sz w:val="23"/>
          <w:szCs w:val="23"/>
          <w:vertAlign w:val="superscript"/>
          <w:lang w:eastAsia="en-GB"/>
        </w:rPr>
        <w:t>st</w:t>
      </w:r>
      <w:r>
        <w:rPr>
          <w:rFonts w:eastAsia="Times New Roman" w:cstheme="minorHAnsi"/>
          <w:color w:val="222222"/>
          <w:sz w:val="23"/>
          <w:szCs w:val="23"/>
          <w:lang w:eastAsia="en-GB"/>
        </w:rPr>
        <w:t xml:space="preserve"> September 2023 </w:t>
      </w:r>
    </w:p>
    <w:p w14:paraId="4B42EFD0" w14:textId="5762875F" w:rsidR="009F265A" w:rsidRPr="007343E3" w:rsidRDefault="009F265A" w:rsidP="009F265A">
      <w:pPr>
        <w:rPr>
          <w:rFonts w:cstheme="minorHAnsi"/>
          <w:sz w:val="23"/>
          <w:szCs w:val="23"/>
        </w:rPr>
      </w:pPr>
      <w:r>
        <w:rPr>
          <w:rFonts w:eastAsia="Times New Roman" w:cstheme="minorHAnsi"/>
          <w:color w:val="222222"/>
          <w:sz w:val="23"/>
          <w:szCs w:val="23"/>
          <w:lang w:eastAsia="en-GB"/>
        </w:rPr>
        <w:br/>
      </w:r>
    </w:p>
    <w:sectPr w:rsidR="009F265A" w:rsidRPr="007343E3" w:rsidSect="008C719C">
      <w:pgSz w:w="11906" w:h="16838"/>
      <w:pgMar w:top="720"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E1A9F"/>
    <w:multiLevelType w:val="multilevel"/>
    <w:tmpl w:val="D4100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35CBC"/>
    <w:multiLevelType w:val="multilevel"/>
    <w:tmpl w:val="A8F68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2E6CAC"/>
    <w:multiLevelType w:val="multilevel"/>
    <w:tmpl w:val="99EE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B453D"/>
    <w:multiLevelType w:val="multilevel"/>
    <w:tmpl w:val="07D25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040DDA"/>
    <w:multiLevelType w:val="multilevel"/>
    <w:tmpl w:val="13AE6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E1E10"/>
    <w:multiLevelType w:val="multilevel"/>
    <w:tmpl w:val="224AC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9C"/>
    <w:rsid w:val="000B157A"/>
    <w:rsid w:val="000C6D5C"/>
    <w:rsid w:val="001D3F39"/>
    <w:rsid w:val="001F29F4"/>
    <w:rsid w:val="00274F6E"/>
    <w:rsid w:val="002A69B4"/>
    <w:rsid w:val="002C7178"/>
    <w:rsid w:val="003428B9"/>
    <w:rsid w:val="003A68F0"/>
    <w:rsid w:val="003E2C64"/>
    <w:rsid w:val="00591A36"/>
    <w:rsid w:val="005E2788"/>
    <w:rsid w:val="005F52FD"/>
    <w:rsid w:val="00613384"/>
    <w:rsid w:val="007343E3"/>
    <w:rsid w:val="0078370F"/>
    <w:rsid w:val="007F615F"/>
    <w:rsid w:val="00847A7F"/>
    <w:rsid w:val="008A698B"/>
    <w:rsid w:val="008C719C"/>
    <w:rsid w:val="008E633E"/>
    <w:rsid w:val="00992ABD"/>
    <w:rsid w:val="009D4518"/>
    <w:rsid w:val="009F265A"/>
    <w:rsid w:val="00A03831"/>
    <w:rsid w:val="00B4509F"/>
    <w:rsid w:val="00BD7AB2"/>
    <w:rsid w:val="00BD7E6F"/>
    <w:rsid w:val="00D3588B"/>
    <w:rsid w:val="00D675AE"/>
    <w:rsid w:val="00E06EA7"/>
    <w:rsid w:val="00E118A7"/>
    <w:rsid w:val="00E668C1"/>
    <w:rsid w:val="00F83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E14F58"/>
  <w15:chartTrackingRefBased/>
  <w15:docId w15:val="{1CEB9F63-BA12-474C-932C-10E48DB1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48919486312614493msolistparagraph">
    <w:name w:val="m_-3248919486312614493msolistparagraph"/>
    <w:basedOn w:val="Normal"/>
    <w:rsid w:val="008C719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F2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9F4"/>
    <w:rPr>
      <w:rFonts w:ascii="Times New Roman" w:hAnsi="Times New Roman" w:cs="Times New Roman"/>
      <w:sz w:val="18"/>
      <w:szCs w:val="18"/>
    </w:rPr>
  </w:style>
  <w:style w:type="paragraph" w:customStyle="1" w:styleId="Default">
    <w:name w:val="Default"/>
    <w:rsid w:val="00847A7F"/>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B4509F"/>
    <w:pPr>
      <w:ind w:left="720"/>
      <w:contextualSpacing/>
    </w:pPr>
  </w:style>
  <w:style w:type="character" w:styleId="Hyperlink">
    <w:name w:val="Hyperlink"/>
    <w:basedOn w:val="DefaultParagraphFont"/>
    <w:uiPriority w:val="99"/>
    <w:unhideWhenUsed/>
    <w:rsid w:val="00D3588B"/>
    <w:rPr>
      <w:color w:val="0563C1" w:themeColor="hyperlink"/>
      <w:u w:val="single"/>
    </w:rPr>
  </w:style>
  <w:style w:type="character" w:styleId="UnresolvedMention">
    <w:name w:val="Unresolved Mention"/>
    <w:basedOn w:val="DefaultParagraphFont"/>
    <w:uiPriority w:val="99"/>
    <w:semiHidden/>
    <w:unhideWhenUsed/>
    <w:rsid w:val="00D3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8898">
      <w:bodyDiv w:val="1"/>
      <w:marLeft w:val="0"/>
      <w:marRight w:val="0"/>
      <w:marTop w:val="0"/>
      <w:marBottom w:val="0"/>
      <w:divBdr>
        <w:top w:val="none" w:sz="0" w:space="0" w:color="auto"/>
        <w:left w:val="none" w:sz="0" w:space="0" w:color="auto"/>
        <w:bottom w:val="none" w:sz="0" w:space="0" w:color="auto"/>
        <w:right w:val="none" w:sz="0" w:space="0" w:color="auto"/>
      </w:divBdr>
    </w:div>
    <w:div w:id="659888281">
      <w:bodyDiv w:val="1"/>
      <w:marLeft w:val="0"/>
      <w:marRight w:val="0"/>
      <w:marTop w:val="0"/>
      <w:marBottom w:val="0"/>
      <w:divBdr>
        <w:top w:val="none" w:sz="0" w:space="0" w:color="auto"/>
        <w:left w:val="none" w:sz="0" w:space="0" w:color="auto"/>
        <w:bottom w:val="none" w:sz="0" w:space="0" w:color="auto"/>
        <w:right w:val="none" w:sz="0" w:space="0" w:color="auto"/>
      </w:divBdr>
      <w:divsChild>
        <w:div w:id="1443769559">
          <w:marLeft w:val="0"/>
          <w:marRight w:val="0"/>
          <w:marTop w:val="0"/>
          <w:marBottom w:val="0"/>
          <w:divBdr>
            <w:top w:val="none" w:sz="0" w:space="0" w:color="auto"/>
            <w:left w:val="none" w:sz="0" w:space="0" w:color="auto"/>
            <w:bottom w:val="none" w:sz="0" w:space="0" w:color="auto"/>
            <w:right w:val="none" w:sz="0" w:space="0" w:color="auto"/>
          </w:divBdr>
        </w:div>
        <w:div w:id="1268001281">
          <w:marLeft w:val="0"/>
          <w:marRight w:val="0"/>
          <w:marTop w:val="0"/>
          <w:marBottom w:val="0"/>
          <w:divBdr>
            <w:top w:val="none" w:sz="0" w:space="0" w:color="auto"/>
            <w:left w:val="none" w:sz="0" w:space="0" w:color="auto"/>
            <w:bottom w:val="none" w:sz="0" w:space="0" w:color="auto"/>
            <w:right w:val="none" w:sz="0" w:space="0" w:color="auto"/>
          </w:divBdr>
        </w:div>
        <w:div w:id="1938561027">
          <w:marLeft w:val="0"/>
          <w:marRight w:val="0"/>
          <w:marTop w:val="0"/>
          <w:marBottom w:val="0"/>
          <w:divBdr>
            <w:top w:val="none" w:sz="0" w:space="0" w:color="auto"/>
            <w:left w:val="none" w:sz="0" w:space="0" w:color="auto"/>
            <w:bottom w:val="none" w:sz="0" w:space="0" w:color="auto"/>
            <w:right w:val="none" w:sz="0" w:space="0" w:color="auto"/>
          </w:divBdr>
        </w:div>
      </w:divsChild>
    </w:div>
    <w:div w:id="953681273">
      <w:bodyDiv w:val="1"/>
      <w:marLeft w:val="0"/>
      <w:marRight w:val="0"/>
      <w:marTop w:val="0"/>
      <w:marBottom w:val="0"/>
      <w:divBdr>
        <w:top w:val="none" w:sz="0" w:space="0" w:color="auto"/>
        <w:left w:val="none" w:sz="0" w:space="0" w:color="auto"/>
        <w:bottom w:val="none" w:sz="0" w:space="0" w:color="auto"/>
        <w:right w:val="none" w:sz="0" w:space="0" w:color="auto"/>
      </w:divBdr>
      <w:divsChild>
        <w:div w:id="47402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beckerling@wafa.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Beckerling</dc:creator>
  <cp:keywords/>
  <dc:description/>
  <cp:lastModifiedBy>Jess Beckerling</cp:lastModifiedBy>
  <cp:revision>5</cp:revision>
  <dcterms:created xsi:type="dcterms:W3CDTF">2023-09-21T01:50:00Z</dcterms:created>
  <dcterms:modified xsi:type="dcterms:W3CDTF">2023-09-22T04:52:00Z</dcterms:modified>
</cp:coreProperties>
</file>